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E90C48" w14:textId="77777777" w:rsidR="00F231E8" w:rsidRDefault="00F231E8" w:rsidP="00822E8B">
      <w:pPr>
        <w:pStyle w:val="NormalWeb"/>
        <w:spacing w:before="0" w:beforeAutospacing="0" w:after="0" w:afterAutospacing="0" w:line="360" w:lineRule="auto"/>
        <w:jc w:val="center"/>
      </w:pPr>
      <w:r>
        <w:rPr>
          <w:b/>
          <w:bCs/>
          <w:color w:val="000000"/>
        </w:rPr>
        <w:t>Social Safety and Disability Erasure: The Sacrifice of the Disabled Body</w:t>
      </w:r>
    </w:p>
    <w:p w14:paraId="68890FF4" w14:textId="1BC4C23E" w:rsidR="00F231E8" w:rsidRDefault="00F231E8" w:rsidP="00822E8B">
      <w:pPr>
        <w:pStyle w:val="NormalWeb"/>
        <w:spacing w:before="0" w:beforeAutospacing="0" w:after="0" w:afterAutospacing="0" w:line="360" w:lineRule="auto"/>
        <w:jc w:val="center"/>
        <w:rPr>
          <w:i/>
          <w:iCs/>
          <w:color w:val="000000"/>
        </w:rPr>
      </w:pPr>
      <w:r>
        <w:rPr>
          <w:color w:val="000000"/>
        </w:rPr>
        <w:t xml:space="preserve">Hunter Duncan, </w:t>
      </w:r>
      <w:r>
        <w:rPr>
          <w:i/>
          <w:iCs/>
          <w:color w:val="000000"/>
        </w:rPr>
        <w:t>Purdue University</w:t>
      </w:r>
    </w:p>
    <w:p w14:paraId="665C8CE7" w14:textId="1E978E8B" w:rsidR="0083429D" w:rsidRDefault="0083429D" w:rsidP="00822E8B">
      <w:pPr>
        <w:pStyle w:val="NormalWeb"/>
        <w:spacing w:before="0" w:beforeAutospacing="0" w:after="0" w:afterAutospacing="0" w:line="360" w:lineRule="auto"/>
        <w:jc w:val="center"/>
        <w:rPr>
          <w:i/>
          <w:iCs/>
          <w:color w:val="000000"/>
        </w:rPr>
      </w:pPr>
      <w:r>
        <w:rPr>
          <w:color w:val="000000"/>
        </w:rPr>
        <w:t xml:space="preserve">Danielle Clapham, </w:t>
      </w:r>
      <w:r>
        <w:rPr>
          <w:i/>
          <w:iCs/>
          <w:color w:val="000000"/>
        </w:rPr>
        <w:t>University of Jamestown</w:t>
      </w:r>
    </w:p>
    <w:p w14:paraId="3744270A" w14:textId="77777777" w:rsidR="00313401" w:rsidRDefault="00313401" w:rsidP="00822E8B">
      <w:pPr>
        <w:pStyle w:val="NormalWeb"/>
        <w:spacing w:before="0" w:beforeAutospacing="0" w:after="0" w:afterAutospacing="0" w:line="360" w:lineRule="auto"/>
        <w:jc w:val="center"/>
      </w:pPr>
    </w:p>
    <w:p w14:paraId="493BE9CD" w14:textId="1D24A749" w:rsidR="00F231E8" w:rsidRDefault="00F81F14" w:rsidP="00822E8B">
      <w:pPr>
        <w:pStyle w:val="NormalWeb"/>
        <w:spacing w:before="0" w:beforeAutospacing="0" w:after="0" w:afterAutospacing="0" w:line="360" w:lineRule="auto"/>
        <w:ind w:firstLine="720"/>
        <w:rPr>
          <w:color w:val="000000"/>
          <w:shd w:val="clear" w:color="auto" w:fill="FEFEFE"/>
        </w:rPr>
      </w:pPr>
      <w:r w:rsidRPr="00E90A7C">
        <w:rPr>
          <w:color w:val="000000"/>
          <w:shd w:val="clear" w:color="auto" w:fill="FEFEFE"/>
        </w:rPr>
        <w:t xml:space="preserve">Over the last three years, COVID has created a broader cultural reflection on the </w:t>
      </w:r>
      <w:proofErr w:type="spellStart"/>
      <w:r w:rsidRPr="00E90A7C">
        <w:rPr>
          <w:color w:val="000000"/>
          <w:shd w:val="clear" w:color="auto" w:fill="FEFEFE"/>
        </w:rPr>
        <w:t>bodymind</w:t>
      </w:r>
      <w:proofErr w:type="spellEnd"/>
      <w:r w:rsidRPr="00E90A7C">
        <w:rPr>
          <w:color w:val="000000"/>
          <w:shd w:val="clear" w:color="auto" w:fill="FEFEFE"/>
        </w:rPr>
        <w:t xml:space="preserve"> and has called into question the stability of “ability.”</w:t>
      </w:r>
      <w:r>
        <w:rPr>
          <w:color w:val="000000"/>
          <w:shd w:val="clear" w:color="auto" w:fill="FEFEFE"/>
        </w:rPr>
        <w:t xml:space="preserve"> </w:t>
      </w:r>
      <w:r w:rsidR="00D047BC">
        <w:rPr>
          <w:color w:val="000000"/>
          <w:shd w:val="clear" w:color="auto" w:fill="FEFEFE"/>
        </w:rPr>
        <w:t>As a whole, the COVID-moment</w:t>
      </w:r>
      <w:r w:rsidR="00E27B50" w:rsidRPr="00F252B1">
        <w:rPr>
          <w:color w:val="000000"/>
          <w:shd w:val="clear" w:color="auto" w:fill="FEFEFE"/>
        </w:rPr>
        <w:t xml:space="preserve"> has shifted how the public thinks about access and has also shifted the language of accommodation to make it more ubiquitous across communities. While this presents an opportunity to transform public understanding of disability towards a more socially recognized model, it simultaneously highlights the ways in which a non</w:t>
      </w:r>
      <w:r w:rsidR="00B50503">
        <w:rPr>
          <w:color w:val="000000"/>
          <w:shd w:val="clear" w:color="auto" w:fill="FEFEFE"/>
        </w:rPr>
        <w:t>-</w:t>
      </w:r>
      <w:r w:rsidR="00E27B50" w:rsidRPr="00F252B1">
        <w:rPr>
          <w:color w:val="000000"/>
          <w:shd w:val="clear" w:color="auto" w:fill="FEFEFE"/>
        </w:rPr>
        <w:t>disabled-oriented society has not, does not, and will not reform itself for the disabled body.</w:t>
      </w:r>
      <w:r w:rsidR="00D047BC">
        <w:rPr>
          <w:color w:val="000000"/>
          <w:shd w:val="clear" w:color="auto" w:fill="FEFEFE"/>
        </w:rPr>
        <w:t xml:space="preserve"> </w:t>
      </w:r>
      <w:r w:rsidR="00F231E8">
        <w:rPr>
          <w:color w:val="000000"/>
          <w:shd w:val="clear" w:color="auto" w:fill="FEFEFE"/>
        </w:rPr>
        <w:t xml:space="preserve">Our paper questions the ways in which disability, ability, and access are made meaningful within our current cultural </w:t>
      </w:r>
      <w:r w:rsidR="00C67402">
        <w:rPr>
          <w:color w:val="000000"/>
          <w:shd w:val="clear" w:color="auto" w:fill="FEFEFE"/>
        </w:rPr>
        <w:t>context of the COVID-19 pandemic</w:t>
      </w:r>
      <w:r w:rsidR="00F231E8">
        <w:rPr>
          <w:color w:val="000000"/>
          <w:shd w:val="clear" w:color="auto" w:fill="FEFEFE"/>
        </w:rPr>
        <w:t xml:space="preserve">, using disability in higher education as our central framework. </w:t>
      </w:r>
      <w:r w:rsidR="00D047BC" w:rsidRPr="00F252B1">
        <w:rPr>
          <w:color w:val="000000"/>
          <w:shd w:val="clear" w:color="auto" w:fill="FEFEFE"/>
        </w:rPr>
        <w:t xml:space="preserve">The question we are raising in our presentation is simultaneously one </w:t>
      </w:r>
      <w:r w:rsidR="00F90D06">
        <w:rPr>
          <w:color w:val="000000"/>
          <w:shd w:val="clear" w:color="auto" w:fill="FEFEFE"/>
        </w:rPr>
        <w:t xml:space="preserve">of </w:t>
      </w:r>
      <w:r w:rsidR="00D047BC" w:rsidRPr="00F252B1">
        <w:rPr>
          <w:color w:val="000000"/>
          <w:shd w:val="clear" w:color="auto" w:fill="FEFEFE"/>
        </w:rPr>
        <w:t>hope and of skepticism</w:t>
      </w:r>
      <w:r w:rsidR="00D047BC">
        <w:rPr>
          <w:color w:val="000000"/>
          <w:shd w:val="clear" w:color="auto" w:fill="FEFEFE"/>
        </w:rPr>
        <w:t>:</w:t>
      </w:r>
      <w:r w:rsidR="00D047BC" w:rsidRPr="00F252B1">
        <w:rPr>
          <w:color w:val="000000"/>
          <w:shd w:val="clear" w:color="auto" w:fill="FEFEFE"/>
        </w:rPr>
        <w:t xml:space="preserve"> </w:t>
      </w:r>
      <w:r w:rsidR="00406D1B">
        <w:rPr>
          <w:color w:val="000000"/>
          <w:shd w:val="clear" w:color="auto" w:fill="FEFEFE"/>
        </w:rPr>
        <w:t>h</w:t>
      </w:r>
      <w:r w:rsidR="00D047BC" w:rsidRPr="00F252B1">
        <w:rPr>
          <w:color w:val="000000"/>
          <w:shd w:val="clear" w:color="auto" w:fill="FEFEFE"/>
        </w:rPr>
        <w:t>ow can we leverage the opportunities provide</w:t>
      </w:r>
      <w:r w:rsidR="00D047BC">
        <w:rPr>
          <w:color w:val="000000"/>
          <w:shd w:val="clear" w:color="auto" w:fill="FEFEFE"/>
        </w:rPr>
        <w:t>d</w:t>
      </w:r>
      <w:r w:rsidR="00D047BC" w:rsidRPr="00F252B1">
        <w:rPr>
          <w:color w:val="000000"/>
          <w:shd w:val="clear" w:color="auto" w:fill="FEFEFE"/>
        </w:rPr>
        <w:t xml:space="preserve"> by increased attention to access during the pandemic while not diminishing the ongoing discrimination and challenges faced by disabled people in large part because of the pandemic?</w:t>
      </w:r>
      <w:r w:rsidR="00D047BC">
        <w:rPr>
          <w:color w:val="000000"/>
          <w:shd w:val="clear" w:color="auto" w:fill="FEFEFE"/>
        </w:rPr>
        <w:t xml:space="preserve"> While we </w:t>
      </w:r>
      <w:r w:rsidR="00F231E8">
        <w:rPr>
          <w:color w:val="000000"/>
          <w:shd w:val="clear" w:color="auto" w:fill="FEFEFE"/>
        </w:rPr>
        <w:t xml:space="preserve">admit that our paper may raise more questions than it answers as we continue to live through and learn within the confines of </w:t>
      </w:r>
      <w:r w:rsidR="00D047BC">
        <w:rPr>
          <w:color w:val="000000"/>
          <w:shd w:val="clear" w:color="auto" w:fill="FEFEFE"/>
        </w:rPr>
        <w:t>the pandemic,</w:t>
      </w:r>
      <w:r w:rsidR="00C67402">
        <w:rPr>
          <w:color w:val="000000"/>
          <w:shd w:val="clear" w:color="auto" w:fill="FEFEFE"/>
        </w:rPr>
        <w:t xml:space="preserve"> o</w:t>
      </w:r>
      <w:r w:rsidR="00F231E8">
        <w:rPr>
          <w:color w:val="000000"/>
          <w:shd w:val="clear" w:color="auto" w:fill="FEFEFE"/>
        </w:rPr>
        <w:t xml:space="preserve">ur hope is that this essay will generate more complex conversations around disability </w:t>
      </w:r>
      <w:r w:rsidR="00D047BC">
        <w:rPr>
          <w:color w:val="000000"/>
          <w:shd w:val="clear" w:color="auto" w:fill="FEFEFE"/>
        </w:rPr>
        <w:t>to</w:t>
      </w:r>
      <w:r w:rsidR="00F231E8">
        <w:rPr>
          <w:color w:val="000000"/>
          <w:shd w:val="clear" w:color="auto" w:fill="FEFEFE"/>
        </w:rPr>
        <w:t xml:space="preserve"> lead us toward greater change.</w:t>
      </w:r>
    </w:p>
    <w:p w14:paraId="1A852EEC" w14:textId="5C536743" w:rsidR="00F231E8" w:rsidRDefault="00F231E8" w:rsidP="00822E8B">
      <w:pPr>
        <w:pStyle w:val="NormalWeb"/>
        <w:spacing w:before="0" w:beforeAutospacing="0" w:after="0" w:afterAutospacing="0" w:line="360" w:lineRule="auto"/>
        <w:ind w:firstLine="720"/>
        <w:rPr>
          <w:color w:val="000000"/>
          <w:shd w:val="clear" w:color="auto" w:fill="FEFEFE"/>
        </w:rPr>
      </w:pPr>
      <w:r>
        <w:rPr>
          <w:color w:val="000000"/>
          <w:shd w:val="clear" w:color="auto" w:fill="FEFEFE"/>
        </w:rPr>
        <w:t xml:space="preserve">It is important to note that our discussion, definitional framework, and exploration of disability focuses on the United States. As a result, the terminology we use </w:t>
      </w:r>
      <w:r w:rsidR="000902FB">
        <w:rPr>
          <w:color w:val="000000"/>
          <w:shd w:val="clear" w:color="auto" w:fill="FEFEFE"/>
        </w:rPr>
        <w:t>is</w:t>
      </w:r>
      <w:r>
        <w:rPr>
          <w:color w:val="000000"/>
          <w:shd w:val="clear" w:color="auto" w:fill="FEFEFE"/>
        </w:rPr>
        <w:t xml:space="preserve"> largely based around disability language, identity, and legal definitions as they are defined by the Americans with Disabilities Act and</w:t>
      </w:r>
      <w:r w:rsidR="009A3E83">
        <w:rPr>
          <w:color w:val="000000"/>
          <w:shd w:val="clear" w:color="auto" w:fill="FEFEFE"/>
        </w:rPr>
        <w:t xml:space="preserve"> the</w:t>
      </w:r>
      <w:r>
        <w:rPr>
          <w:color w:val="000000"/>
          <w:shd w:val="clear" w:color="auto" w:fill="FEFEFE"/>
        </w:rPr>
        <w:t xml:space="preserve"> Disability Studies field in the United States. Additionally, we specifically explore the intersection of disability and COVID-19 within the context of higher education</w:t>
      </w:r>
      <w:r w:rsidR="00282C9E">
        <w:rPr>
          <w:color w:val="000000"/>
          <w:shd w:val="clear" w:color="auto" w:fill="FEFEFE"/>
        </w:rPr>
        <w:t>. W</w:t>
      </w:r>
      <w:r>
        <w:rPr>
          <w:color w:val="000000"/>
          <w:shd w:val="clear" w:color="auto" w:fill="FEFEFE"/>
        </w:rPr>
        <w:t xml:space="preserve">e contend that higher education can serve as a case study on COVID accessibility issues that exist in society, and in many ways individuals in the context of higher education may experience some increased effects of COVID-19, including higher rates of anxiety and </w:t>
      </w:r>
      <w:r>
        <w:rPr>
          <w:color w:val="000000"/>
          <w:shd w:val="clear" w:color="auto" w:fill="FEFEFE"/>
        </w:rPr>
        <w:lastRenderedPageBreak/>
        <w:t>depression</w:t>
      </w:r>
      <w:r w:rsidR="00FE14EA">
        <w:rPr>
          <w:color w:val="000000"/>
          <w:shd w:val="clear" w:color="auto" w:fill="FEFEFE"/>
        </w:rPr>
        <w:t>,</w:t>
      </w:r>
      <w:r w:rsidR="007576CF">
        <w:rPr>
          <w:rStyle w:val="FootnoteReference"/>
          <w:color w:val="000000"/>
          <w:shd w:val="clear" w:color="auto" w:fill="FEFEFE"/>
        </w:rPr>
        <w:footnoteReference w:id="1"/>
      </w:r>
      <w:r w:rsidR="00FE14EA">
        <w:rPr>
          <w:color w:val="000000"/>
          <w:shd w:val="clear" w:color="auto" w:fill="FEFEFE"/>
        </w:rPr>
        <w:t xml:space="preserve"> particularly for people with disabilities</w:t>
      </w:r>
      <w:r w:rsidR="00ED71F2" w:rsidRPr="0031117E">
        <w:rPr>
          <w:color w:val="000000"/>
          <w:shd w:val="clear" w:color="auto" w:fill="FEFEFE"/>
        </w:rPr>
        <w:t>.</w:t>
      </w:r>
      <w:r w:rsidR="00F250A0" w:rsidRPr="0031117E">
        <w:rPr>
          <w:rStyle w:val="FootnoteReference"/>
          <w:color w:val="000000"/>
          <w:shd w:val="clear" w:color="auto" w:fill="FEFEFE"/>
        </w:rPr>
        <w:footnoteReference w:id="2"/>
      </w:r>
      <w:r w:rsidR="00ED71F2" w:rsidRPr="0031117E">
        <w:rPr>
          <w:color w:val="000000"/>
          <w:shd w:val="clear" w:color="auto" w:fill="FEFEFE"/>
        </w:rPr>
        <w:t xml:space="preserve"> </w:t>
      </w:r>
      <w:r w:rsidR="00855530" w:rsidRPr="0031117E">
        <w:rPr>
          <w:color w:val="000000"/>
          <w:shd w:val="clear" w:color="auto" w:fill="FEFEFE"/>
        </w:rPr>
        <w:t>As</w:t>
      </w:r>
      <w:r w:rsidRPr="0031117E">
        <w:rPr>
          <w:color w:val="000000"/>
          <w:shd w:val="clear" w:color="auto" w:fill="FEFEFE"/>
        </w:rPr>
        <w:t xml:space="preserve"> Wang et al</w:t>
      </w:r>
      <w:r w:rsidR="003E3D96" w:rsidRPr="0031117E">
        <w:rPr>
          <w:color w:val="000000"/>
          <w:shd w:val="clear" w:color="auto" w:fill="FEFEFE"/>
        </w:rPr>
        <w:t>.</w:t>
      </w:r>
      <w:r w:rsidRPr="0031117E">
        <w:rPr>
          <w:color w:val="000000"/>
          <w:shd w:val="clear" w:color="auto" w:fill="FEFEFE"/>
        </w:rPr>
        <w:t xml:space="preserve"> indicate</w:t>
      </w:r>
      <w:r w:rsidR="00855530">
        <w:rPr>
          <w:color w:val="000000"/>
          <w:shd w:val="clear" w:color="auto" w:fill="FEFEFE"/>
        </w:rPr>
        <w:t>,</w:t>
      </w:r>
      <w:r>
        <w:rPr>
          <w:color w:val="000000"/>
          <w:shd w:val="clear" w:color="auto" w:fill="FEFEFE"/>
        </w:rPr>
        <w:t xml:space="preserve"> young adults with disabilities were likely to experience more social isolation during the pandemic than older adults, likely because </w:t>
      </w:r>
      <w:r w:rsidR="00D96BBC">
        <w:rPr>
          <w:color w:val="000000"/>
          <w:shd w:val="clear" w:color="auto" w:fill="FEFEFE"/>
        </w:rPr>
        <w:t xml:space="preserve">they are </w:t>
      </w:r>
      <w:r>
        <w:rPr>
          <w:color w:val="000000"/>
          <w:shd w:val="clear" w:color="auto" w:fill="FEFEFE"/>
        </w:rPr>
        <w:t>“at significantly higher risk for severe illness and death due to COVID-19 than their nondisabled peers</w:t>
      </w:r>
      <w:r w:rsidR="0031117E">
        <w:rPr>
          <w:color w:val="000000"/>
          <w:shd w:val="clear" w:color="auto" w:fill="FEFEFE"/>
        </w:rPr>
        <w:t>.</w:t>
      </w:r>
      <w:r>
        <w:rPr>
          <w:color w:val="000000"/>
          <w:shd w:val="clear" w:color="auto" w:fill="FEFEFE"/>
        </w:rPr>
        <w:t>”</w:t>
      </w:r>
      <w:r w:rsidR="003E3D96">
        <w:rPr>
          <w:rStyle w:val="FootnoteReference"/>
          <w:color w:val="000000"/>
          <w:shd w:val="clear" w:color="auto" w:fill="FEFEFE"/>
        </w:rPr>
        <w:footnoteReference w:id="3"/>
      </w:r>
      <w:r>
        <w:rPr>
          <w:color w:val="000000"/>
          <w:shd w:val="clear" w:color="auto" w:fill="FEFEFE"/>
        </w:rPr>
        <w:t xml:space="preserve"> With these findings in mind, we believe higher education is a vital area to study the intersection of COVID-19 policies and beliefs and disability, as universities often function as micro-environments wherein we can take a closer look at access, its impact on physical and online spaces, and the people who inhabit those environments. As both faculty and staff in higher education, we bring to light our unique experiences, shared responsibilities, and individual ideas about disability, access, and accommodations. </w:t>
      </w:r>
    </w:p>
    <w:p w14:paraId="4303F261" w14:textId="77777777" w:rsidR="0031117E" w:rsidRDefault="0031117E" w:rsidP="00822E8B">
      <w:pPr>
        <w:pStyle w:val="NormalWeb"/>
        <w:spacing w:before="0" w:beforeAutospacing="0" w:after="0" w:afterAutospacing="0" w:line="360" w:lineRule="auto"/>
        <w:ind w:firstLine="720"/>
        <w:rPr>
          <w:color w:val="000000"/>
          <w:shd w:val="clear" w:color="auto" w:fill="FEFEFE"/>
        </w:rPr>
      </w:pPr>
    </w:p>
    <w:p w14:paraId="7F2EE2B3" w14:textId="1853A294" w:rsidR="0049041E" w:rsidRPr="00C51AE2" w:rsidRDefault="00C51AE2" w:rsidP="00822E8B">
      <w:pPr>
        <w:pStyle w:val="NormalWeb"/>
        <w:spacing w:before="0" w:beforeAutospacing="0" w:after="0" w:afterAutospacing="0" w:line="360" w:lineRule="auto"/>
        <w:rPr>
          <w:b/>
          <w:bCs/>
        </w:rPr>
      </w:pPr>
      <w:r w:rsidRPr="00C51AE2">
        <w:rPr>
          <w:b/>
          <w:bCs/>
          <w:color w:val="000000"/>
          <w:shd w:val="clear" w:color="auto" w:fill="FEFEFE"/>
        </w:rPr>
        <w:t>“Silver Linings”</w:t>
      </w:r>
    </w:p>
    <w:p w14:paraId="1824B6EF" w14:textId="31A7DC38" w:rsidR="00F231E8" w:rsidRPr="00D70144" w:rsidRDefault="00F231E8" w:rsidP="00822E8B">
      <w:pPr>
        <w:pStyle w:val="NormalWeb"/>
        <w:spacing w:before="0" w:beforeAutospacing="0" w:after="0" w:afterAutospacing="0" w:line="360" w:lineRule="auto"/>
        <w:ind w:firstLine="720"/>
        <w:rPr>
          <w:color w:val="111111"/>
          <w:shd w:val="clear" w:color="auto" w:fill="FEFEFE"/>
        </w:rPr>
      </w:pPr>
      <w:r>
        <w:rPr>
          <w:color w:val="000000"/>
          <w:shd w:val="clear" w:color="auto" w:fill="FEFEFE"/>
        </w:rPr>
        <w:t xml:space="preserve">As the </w:t>
      </w:r>
      <w:r w:rsidR="00F5510E">
        <w:rPr>
          <w:color w:val="000000"/>
          <w:shd w:val="clear" w:color="auto" w:fill="FEFEFE"/>
        </w:rPr>
        <w:t>public</w:t>
      </w:r>
      <w:r>
        <w:rPr>
          <w:color w:val="000000"/>
          <w:shd w:val="clear" w:color="auto" w:fill="FEFEFE"/>
        </w:rPr>
        <w:t xml:space="preserve"> became subject to more access barriers due to the COVID-19 pandemic in 2020, many</w:t>
      </w:r>
      <w:r w:rsidR="00C4232A">
        <w:rPr>
          <w:color w:val="000000"/>
          <w:shd w:val="clear" w:color="auto" w:fill="FEFEFE"/>
        </w:rPr>
        <w:t xml:space="preserve"> non-disabled people</w:t>
      </w:r>
      <w:r>
        <w:rPr>
          <w:color w:val="000000"/>
          <w:shd w:val="clear" w:color="auto" w:fill="FEFEFE"/>
        </w:rPr>
        <w:t xml:space="preserve"> became aware of the need for accessibility measures that they may not have previously considered reasonable. Telecommuting, for example, became a norm in many industries for disabled and non</w:t>
      </w:r>
      <w:r w:rsidR="00AA5503">
        <w:rPr>
          <w:color w:val="000000"/>
          <w:shd w:val="clear" w:color="auto" w:fill="FEFEFE"/>
        </w:rPr>
        <w:t>-</w:t>
      </w:r>
      <w:r>
        <w:rPr>
          <w:color w:val="000000"/>
          <w:shd w:val="clear" w:color="auto" w:fill="FEFEFE"/>
        </w:rPr>
        <w:t xml:space="preserve">disabled workers alike, and some researchers wondered whether increase in telework may be a “silver lining” for workers with disabilities if the COVID-era “new normal” could be carried into a post-pandemic </w:t>
      </w:r>
      <w:r w:rsidRPr="00BF7991">
        <w:rPr>
          <w:color w:val="000000"/>
          <w:shd w:val="clear" w:color="auto" w:fill="FEFEFE"/>
        </w:rPr>
        <w:t>world.</w:t>
      </w:r>
      <w:r w:rsidR="00BF7991" w:rsidRPr="00BF7991">
        <w:rPr>
          <w:rStyle w:val="FootnoteReference"/>
          <w:color w:val="000000"/>
          <w:shd w:val="clear" w:color="auto" w:fill="FEFEFE"/>
        </w:rPr>
        <w:footnoteReference w:id="4"/>
      </w:r>
      <w:r w:rsidRPr="00BF7991">
        <w:rPr>
          <w:color w:val="000000"/>
          <w:shd w:val="clear" w:color="auto" w:fill="FEFEFE"/>
        </w:rPr>
        <w:t xml:space="preserve"> Even</w:t>
      </w:r>
      <w:r>
        <w:rPr>
          <w:color w:val="000000"/>
          <w:shd w:val="clear" w:color="auto" w:fill="FEFEFE"/>
        </w:rPr>
        <w:t xml:space="preserve"> among </w:t>
      </w:r>
      <w:r w:rsidR="00857E13">
        <w:rPr>
          <w:color w:val="000000"/>
          <w:shd w:val="clear" w:color="auto" w:fill="FEFEFE"/>
        </w:rPr>
        <w:t>D</w:t>
      </w:r>
      <w:r>
        <w:rPr>
          <w:color w:val="000000"/>
          <w:shd w:val="clear" w:color="auto" w:fill="FEFEFE"/>
        </w:rPr>
        <w:t xml:space="preserve">isability </w:t>
      </w:r>
      <w:r w:rsidR="00857E13">
        <w:rPr>
          <w:color w:val="000000"/>
          <w:shd w:val="clear" w:color="auto" w:fill="FEFEFE"/>
        </w:rPr>
        <w:t>S</w:t>
      </w:r>
      <w:r>
        <w:rPr>
          <w:color w:val="000000"/>
          <w:shd w:val="clear" w:color="auto" w:fill="FEFEFE"/>
        </w:rPr>
        <w:t xml:space="preserve">tudies scholars, there was an early tendency to try to find potential positives in the accessibility </w:t>
      </w:r>
      <w:r>
        <w:rPr>
          <w:color w:val="000000"/>
          <w:shd w:val="clear" w:color="auto" w:fill="FEFEFE"/>
        </w:rPr>
        <w:lastRenderedPageBreak/>
        <w:t xml:space="preserve">measures put in place during </w:t>
      </w:r>
      <w:r w:rsidR="00BC3601">
        <w:rPr>
          <w:color w:val="000000"/>
          <w:shd w:val="clear" w:color="auto" w:fill="FEFEFE"/>
        </w:rPr>
        <w:t xml:space="preserve">the spring of </w:t>
      </w:r>
      <w:r w:rsidR="00BC3601" w:rsidRPr="00BF7991">
        <w:rPr>
          <w:color w:val="000000"/>
          <w:shd w:val="clear" w:color="auto" w:fill="FEFEFE"/>
        </w:rPr>
        <w:t>2020</w:t>
      </w:r>
      <w:r w:rsidRPr="00BF7991">
        <w:rPr>
          <w:color w:val="000000"/>
          <w:shd w:val="clear" w:color="auto" w:fill="FEFEFE"/>
        </w:rPr>
        <w:t>; as Block, et al. note, “</w:t>
      </w:r>
      <w:r w:rsidRPr="00BF7991">
        <w:rPr>
          <w:color w:val="111111"/>
          <w:shd w:val="clear" w:color="auto" w:fill="FEFEFE"/>
        </w:rPr>
        <w:t xml:space="preserve">We are already seeing the emergence of new technologies and </w:t>
      </w:r>
      <w:proofErr w:type="spellStart"/>
      <w:r w:rsidRPr="00BF7991">
        <w:rPr>
          <w:color w:val="111111"/>
          <w:shd w:val="clear" w:color="auto" w:fill="FEFEFE"/>
        </w:rPr>
        <w:t>socialities</w:t>
      </w:r>
      <w:proofErr w:type="spellEnd"/>
      <w:r w:rsidRPr="00BF7991">
        <w:rPr>
          <w:color w:val="111111"/>
          <w:shd w:val="clear" w:color="auto" w:fill="FEFEFE"/>
        </w:rPr>
        <w:t xml:space="preserve"> that have come into</w:t>
      </w:r>
      <w:r>
        <w:rPr>
          <w:color w:val="111111"/>
          <w:shd w:val="clear" w:color="auto" w:fill="FEFEFE"/>
        </w:rPr>
        <w:t xml:space="preserve"> being as a result of the Covid-19 pandemic….In the midst of physical isolation, we have been granted levels of intimacy and access that some of us have never experienced before.</w:t>
      </w:r>
      <w:r w:rsidR="006768DC">
        <w:rPr>
          <w:color w:val="111111"/>
          <w:shd w:val="clear" w:color="auto" w:fill="FEFEFE"/>
        </w:rPr>
        <w:t>”</w:t>
      </w:r>
      <w:r w:rsidR="00BF7991">
        <w:rPr>
          <w:rStyle w:val="FootnoteReference"/>
          <w:color w:val="111111"/>
          <w:shd w:val="clear" w:color="auto" w:fill="FEFEFE"/>
        </w:rPr>
        <w:footnoteReference w:id="5"/>
      </w:r>
    </w:p>
    <w:p w14:paraId="5612474E" w14:textId="77777777" w:rsidR="00BD23AF" w:rsidRDefault="00D70144" w:rsidP="00BD23AF">
      <w:pPr>
        <w:pStyle w:val="NormalWeb"/>
        <w:spacing w:before="0" w:beforeAutospacing="0" w:after="0" w:afterAutospacing="0" w:line="360" w:lineRule="auto"/>
        <w:ind w:firstLine="720"/>
        <w:rPr>
          <w:color w:val="000000"/>
          <w:shd w:val="clear" w:color="auto" w:fill="FEFEFE"/>
        </w:rPr>
      </w:pPr>
      <w:r w:rsidRPr="00D70144">
        <w:rPr>
          <w:color w:val="111111"/>
          <w:shd w:val="clear" w:color="auto" w:fill="FEFEFE"/>
        </w:rPr>
        <w:t xml:space="preserve">The same </w:t>
      </w:r>
      <w:r w:rsidR="006768DC">
        <w:rPr>
          <w:color w:val="111111"/>
          <w:shd w:val="clear" w:color="auto" w:fill="FEFEFE"/>
        </w:rPr>
        <w:t>was</w:t>
      </w:r>
      <w:r w:rsidRPr="00D70144">
        <w:rPr>
          <w:color w:val="111111"/>
          <w:shd w:val="clear" w:color="auto" w:fill="FEFEFE"/>
        </w:rPr>
        <w:t xml:space="preserve"> true</w:t>
      </w:r>
      <w:r w:rsidR="00F231E8" w:rsidRPr="00D70144">
        <w:rPr>
          <w:color w:val="111111"/>
          <w:shd w:val="clear" w:color="auto" w:fill="FEFEFE"/>
        </w:rPr>
        <w:t xml:space="preserve"> on</w:t>
      </w:r>
      <w:r w:rsidRPr="00D70144">
        <w:rPr>
          <w:color w:val="111111"/>
          <w:shd w:val="clear" w:color="auto" w:fill="FEFEFE"/>
        </w:rPr>
        <w:t xml:space="preserve"> </w:t>
      </w:r>
      <w:r w:rsidR="00F231E8" w:rsidRPr="00D70144">
        <w:rPr>
          <w:color w:val="111111"/>
          <w:shd w:val="clear" w:color="auto" w:fill="FEFEFE"/>
        </w:rPr>
        <w:t>college campus</w:t>
      </w:r>
      <w:r w:rsidRPr="00D70144">
        <w:rPr>
          <w:color w:val="111111"/>
          <w:shd w:val="clear" w:color="auto" w:fill="FEFEFE"/>
        </w:rPr>
        <w:t>es</w:t>
      </w:r>
      <w:r w:rsidR="00F231E8">
        <w:rPr>
          <w:color w:val="000000"/>
          <w:shd w:val="clear" w:color="auto" w:fill="FEFEFE"/>
        </w:rPr>
        <w:t xml:space="preserve"> </w:t>
      </w:r>
      <w:r w:rsidR="006768DC">
        <w:rPr>
          <w:color w:val="000000"/>
          <w:shd w:val="clear" w:color="auto" w:fill="FEFEFE"/>
        </w:rPr>
        <w:t>where</w:t>
      </w:r>
      <w:r w:rsidR="00F231E8">
        <w:rPr>
          <w:color w:val="000000"/>
          <w:shd w:val="clear" w:color="auto" w:fill="FEFEFE"/>
        </w:rPr>
        <w:t xml:space="preserve"> the changing environment made disability and access visible for students, staff, and faculty who may have been previously unaware of its presence. Access no longer existed as a sole responsibility of the disability-services office. Instead, other offices on campus like </w:t>
      </w:r>
      <w:r w:rsidR="00255325">
        <w:rPr>
          <w:color w:val="000000"/>
          <w:shd w:val="clear" w:color="auto" w:fill="FEFEFE"/>
        </w:rPr>
        <w:t>r</w:t>
      </w:r>
      <w:r w:rsidR="00F231E8">
        <w:rPr>
          <w:color w:val="000000"/>
          <w:shd w:val="clear" w:color="auto" w:fill="FEFEFE"/>
        </w:rPr>
        <w:t xml:space="preserve">esidence </w:t>
      </w:r>
      <w:r w:rsidR="00255325">
        <w:rPr>
          <w:color w:val="000000"/>
          <w:shd w:val="clear" w:color="auto" w:fill="FEFEFE"/>
        </w:rPr>
        <w:t>l</w:t>
      </w:r>
      <w:r w:rsidR="00F231E8">
        <w:rPr>
          <w:color w:val="000000"/>
          <w:shd w:val="clear" w:color="auto" w:fill="FEFEFE"/>
        </w:rPr>
        <w:t xml:space="preserve">ife, </w:t>
      </w:r>
      <w:r w:rsidR="006768DC">
        <w:rPr>
          <w:color w:val="000000"/>
          <w:shd w:val="clear" w:color="auto" w:fill="FEFEFE"/>
        </w:rPr>
        <w:t>l</w:t>
      </w:r>
      <w:r w:rsidR="00F231E8">
        <w:rPr>
          <w:color w:val="000000"/>
          <w:shd w:val="clear" w:color="auto" w:fill="FEFEFE"/>
        </w:rPr>
        <w:t xml:space="preserve">ibraries, and </w:t>
      </w:r>
      <w:r w:rsidR="00255325">
        <w:rPr>
          <w:color w:val="000000"/>
          <w:shd w:val="clear" w:color="auto" w:fill="FEFEFE"/>
        </w:rPr>
        <w:t>w</w:t>
      </w:r>
      <w:r w:rsidR="00F231E8">
        <w:rPr>
          <w:color w:val="000000"/>
          <w:shd w:val="clear" w:color="auto" w:fill="FEFEFE"/>
        </w:rPr>
        <w:t xml:space="preserve">riting </w:t>
      </w:r>
      <w:r w:rsidR="00255325">
        <w:rPr>
          <w:color w:val="000000"/>
          <w:shd w:val="clear" w:color="auto" w:fill="FEFEFE"/>
        </w:rPr>
        <w:t>centers</w:t>
      </w:r>
      <w:r w:rsidR="00F231E8">
        <w:rPr>
          <w:color w:val="000000"/>
          <w:shd w:val="clear" w:color="auto" w:fill="FEFEFE"/>
        </w:rPr>
        <w:t xml:space="preserve"> needed to address access within their own spaces, both in-person and virtual</w:t>
      </w:r>
      <w:r w:rsidR="006768DC">
        <w:rPr>
          <w:color w:val="000000"/>
          <w:shd w:val="clear" w:color="auto" w:fill="FEFEFE"/>
        </w:rPr>
        <w:t>ly</w:t>
      </w:r>
      <w:r w:rsidR="00F231E8">
        <w:rPr>
          <w:color w:val="000000"/>
          <w:shd w:val="clear" w:color="auto" w:fill="FEFEFE"/>
        </w:rPr>
        <w:t>.</w:t>
      </w:r>
      <w:r w:rsidR="00853CA8">
        <w:rPr>
          <w:color w:val="000000"/>
          <w:shd w:val="clear" w:color="auto" w:fill="FEFEFE"/>
        </w:rPr>
        <w:t xml:space="preserve"> For example,</w:t>
      </w:r>
      <w:r w:rsidR="00255325">
        <w:rPr>
          <w:color w:val="000000"/>
          <w:shd w:val="clear" w:color="auto" w:fill="FEFEFE"/>
        </w:rPr>
        <w:t xml:space="preserve"> </w:t>
      </w:r>
      <w:r w:rsidR="00853CA8">
        <w:rPr>
          <w:color w:val="000000"/>
          <w:shd w:val="clear" w:color="auto" w:fill="FEFEFE"/>
        </w:rPr>
        <w:t>a</w:t>
      </w:r>
      <w:r w:rsidR="00255325">
        <w:rPr>
          <w:color w:val="000000"/>
          <w:shd w:val="clear" w:color="auto" w:fill="FEFEFE"/>
        </w:rPr>
        <w:t>t Purdue, where Hunter works, t</w:t>
      </w:r>
      <w:r w:rsidR="00F231E8">
        <w:rPr>
          <w:color w:val="000000"/>
          <w:shd w:val="clear" w:color="auto" w:fill="FEFEFE"/>
        </w:rPr>
        <w:t xml:space="preserve">he Disability Resource Center (DRC) is in conversations with the </w:t>
      </w:r>
      <w:r w:rsidR="00255325">
        <w:rPr>
          <w:color w:val="000000"/>
          <w:shd w:val="clear" w:color="auto" w:fill="FEFEFE"/>
        </w:rPr>
        <w:t>l</w:t>
      </w:r>
      <w:r w:rsidR="00F231E8">
        <w:rPr>
          <w:color w:val="000000"/>
          <w:shd w:val="clear" w:color="auto" w:fill="FEFEFE"/>
        </w:rPr>
        <w:t>ibrary systems to discuss train</w:t>
      </w:r>
      <w:r w:rsidR="00630FA4">
        <w:rPr>
          <w:color w:val="000000"/>
          <w:shd w:val="clear" w:color="auto" w:fill="FEFEFE"/>
        </w:rPr>
        <w:t>ing</w:t>
      </w:r>
      <w:r w:rsidR="00F231E8">
        <w:rPr>
          <w:color w:val="000000"/>
          <w:shd w:val="clear" w:color="auto" w:fill="FEFEFE"/>
        </w:rPr>
        <w:t xml:space="preserve"> for staff members on ways to make </w:t>
      </w:r>
      <w:r w:rsidR="007B65B6">
        <w:rPr>
          <w:color w:val="000000"/>
          <w:shd w:val="clear" w:color="auto" w:fill="FEFEFE"/>
        </w:rPr>
        <w:t xml:space="preserve">the reference platform </w:t>
      </w:r>
      <w:r w:rsidR="00F231E8">
        <w:rPr>
          <w:color w:val="000000"/>
          <w:shd w:val="clear" w:color="auto" w:fill="FEFEFE"/>
        </w:rPr>
        <w:t xml:space="preserve">and </w:t>
      </w:r>
      <w:r w:rsidR="007B65B6">
        <w:rPr>
          <w:color w:val="000000"/>
          <w:shd w:val="clear" w:color="auto" w:fill="FEFEFE"/>
        </w:rPr>
        <w:t xml:space="preserve">student-librarian </w:t>
      </w:r>
      <w:r w:rsidR="00F231E8">
        <w:rPr>
          <w:color w:val="000000"/>
          <w:shd w:val="clear" w:color="auto" w:fill="FEFEFE"/>
        </w:rPr>
        <w:t>interactions more inclusive and accessible. Another example is the DRC’s partnership with Orientation Programming</w:t>
      </w:r>
      <w:r w:rsidR="0055722B">
        <w:rPr>
          <w:color w:val="000000"/>
          <w:shd w:val="clear" w:color="auto" w:fill="FEFEFE"/>
        </w:rPr>
        <w:t>, who</w:t>
      </w:r>
      <w:r w:rsidR="0055722B" w:rsidRPr="0055722B">
        <w:rPr>
          <w:color w:val="000000"/>
          <w:shd w:val="clear" w:color="auto" w:fill="FEFEFE"/>
        </w:rPr>
        <w:t xml:space="preserve"> </w:t>
      </w:r>
      <w:r w:rsidR="00F231E8">
        <w:rPr>
          <w:color w:val="000000"/>
          <w:shd w:val="clear" w:color="auto" w:fill="FEFEFE"/>
        </w:rPr>
        <w:t>recognize</w:t>
      </w:r>
      <w:r w:rsidR="0055722B">
        <w:rPr>
          <w:color w:val="000000"/>
          <w:shd w:val="clear" w:color="auto" w:fill="FEFEFE"/>
        </w:rPr>
        <w:t>d</w:t>
      </w:r>
      <w:r w:rsidR="00F231E8">
        <w:rPr>
          <w:color w:val="000000"/>
          <w:shd w:val="clear" w:color="auto" w:fill="FEFEFE"/>
        </w:rPr>
        <w:t xml:space="preserve"> that offering multiple modes of “the student experience” </w:t>
      </w:r>
      <w:r w:rsidR="0055722B">
        <w:rPr>
          <w:color w:val="000000"/>
          <w:shd w:val="clear" w:color="auto" w:fill="FEFEFE"/>
        </w:rPr>
        <w:t>could</w:t>
      </w:r>
      <w:r w:rsidR="00F231E8">
        <w:rPr>
          <w:color w:val="000000"/>
          <w:shd w:val="clear" w:color="auto" w:fill="FEFEFE"/>
        </w:rPr>
        <w:t xml:space="preserve"> be made possible through in-person, virtual, and inclusive design practices. </w:t>
      </w:r>
    </w:p>
    <w:p w14:paraId="538AB974" w14:textId="55339435" w:rsidR="00F231E8" w:rsidRPr="00BD23AF" w:rsidRDefault="00BD23AF" w:rsidP="00BD23AF">
      <w:pPr>
        <w:pStyle w:val="NormalWeb"/>
        <w:spacing w:before="0" w:beforeAutospacing="0" w:after="0" w:afterAutospacing="0" w:line="360" w:lineRule="auto"/>
        <w:ind w:firstLine="720"/>
        <w:rPr>
          <w:color w:val="111111"/>
          <w:shd w:val="clear" w:color="auto" w:fill="FEFEFE"/>
        </w:rPr>
      </w:pPr>
      <w:r>
        <w:rPr>
          <w:color w:val="000000"/>
          <w:shd w:val="clear" w:color="auto" w:fill="FEFEFE"/>
        </w:rPr>
        <w:t>Access changes also became necessary in classrooms, as the pandemic shifted the focus of access toward a more proactive rather than reactive model. Professors, TAs, and instructors began to automatically create accessible course content, like captioned media, flexible deadlines, extended time on exams, and lecture recordings. Prior to the pandemic, these accommodations were not usually included in course syllab</w:t>
      </w:r>
      <w:r w:rsidR="00D1050B">
        <w:rPr>
          <w:color w:val="000000"/>
          <w:shd w:val="clear" w:color="auto" w:fill="FEFEFE"/>
        </w:rPr>
        <w:t>i</w:t>
      </w:r>
      <w:r>
        <w:rPr>
          <w:color w:val="000000"/>
          <w:shd w:val="clear" w:color="auto" w:fill="FEFEFE"/>
        </w:rPr>
        <w:t xml:space="preserve"> and were something that students had to often ask for to receive access in their classrooms. </w:t>
      </w:r>
      <w:r>
        <w:rPr>
          <w:color w:val="111111"/>
          <w:shd w:val="clear" w:color="auto" w:fill="FEFEFE"/>
        </w:rPr>
        <w:t>Understandably, many people with disabilities saw a potential shift in public understanding of disabled experience as an avenue to advocate for long-needed changes.</w:t>
      </w:r>
      <w:r w:rsidR="00D1050B">
        <w:rPr>
          <w:color w:val="111111"/>
          <w:shd w:val="clear" w:color="auto" w:fill="FEFEFE"/>
        </w:rPr>
        <w:t xml:space="preserve"> </w:t>
      </w:r>
    </w:p>
    <w:p w14:paraId="76D4A0D1" w14:textId="77777777" w:rsidR="00BF7991" w:rsidRPr="00B612E4" w:rsidRDefault="00BF7991" w:rsidP="00822E8B">
      <w:pPr>
        <w:pStyle w:val="NormalWeb"/>
        <w:spacing w:before="0" w:beforeAutospacing="0" w:after="0" w:afterAutospacing="0" w:line="360" w:lineRule="auto"/>
        <w:ind w:firstLine="720"/>
        <w:rPr>
          <w:color w:val="111111"/>
          <w:shd w:val="clear" w:color="auto" w:fill="FEFEFE"/>
        </w:rPr>
      </w:pPr>
    </w:p>
    <w:p w14:paraId="6808C463" w14:textId="74E3DAD5" w:rsidR="0049041E" w:rsidRPr="0049041E" w:rsidRDefault="0049041E" w:rsidP="00822E8B">
      <w:pPr>
        <w:pStyle w:val="NormalWeb"/>
        <w:spacing w:before="0" w:beforeAutospacing="0" w:after="0" w:afterAutospacing="0" w:line="360" w:lineRule="auto"/>
        <w:rPr>
          <w:b/>
          <w:bCs/>
        </w:rPr>
      </w:pPr>
      <w:r w:rsidRPr="0049041E">
        <w:rPr>
          <w:b/>
          <w:bCs/>
          <w:color w:val="000000"/>
          <w:shd w:val="clear" w:color="auto" w:fill="FEFEFE"/>
        </w:rPr>
        <w:t>COVID Access Myth</w:t>
      </w:r>
    </w:p>
    <w:p w14:paraId="7FE4BE17" w14:textId="170B2CE7" w:rsidR="00AD08F8" w:rsidRPr="00F37903" w:rsidRDefault="00F231E8" w:rsidP="00822E8B">
      <w:pPr>
        <w:pStyle w:val="NormalWeb"/>
        <w:spacing w:before="0" w:beforeAutospacing="0" w:after="0" w:afterAutospacing="0" w:line="360" w:lineRule="auto"/>
        <w:ind w:firstLine="720"/>
      </w:pPr>
      <w:r>
        <w:rPr>
          <w:color w:val="000000"/>
          <w:shd w:val="clear" w:color="auto" w:fill="FEFEFE"/>
        </w:rPr>
        <w:t>However, despite the accessibility gains made possible in the pandemic, it is overly simplistic to frame COVID-era accessibility measures</w:t>
      </w:r>
      <w:r w:rsidR="00BF01F0">
        <w:rPr>
          <w:color w:val="000000"/>
          <w:shd w:val="clear" w:color="auto" w:fill="FEFEFE"/>
        </w:rPr>
        <w:t xml:space="preserve"> solely</w:t>
      </w:r>
      <w:r>
        <w:rPr>
          <w:color w:val="000000"/>
          <w:shd w:val="clear" w:color="auto" w:fill="FEFEFE"/>
        </w:rPr>
        <w:t xml:space="preserve"> in a narrative of progress. There are </w:t>
      </w:r>
      <w:r>
        <w:rPr>
          <w:color w:val="000000"/>
          <w:shd w:val="clear" w:color="auto" w:fill="FEFEFE"/>
        </w:rPr>
        <w:lastRenderedPageBreak/>
        <w:t>certainly victories that can and should be celebrated, but those individual victories do not negate the systemic issues of ableism and inaccessibility that persist</w:t>
      </w:r>
      <w:r w:rsidR="00EE1F46">
        <w:rPr>
          <w:color w:val="000000"/>
          <w:shd w:val="clear" w:color="auto" w:fill="FEFEFE"/>
        </w:rPr>
        <w:t xml:space="preserve"> in (and</w:t>
      </w:r>
      <w:r>
        <w:rPr>
          <w:color w:val="000000"/>
          <w:shd w:val="clear" w:color="auto" w:fill="FEFEFE"/>
        </w:rPr>
        <w:t xml:space="preserve"> in some cases are exacerbated by</w:t>
      </w:r>
      <w:r w:rsidR="00EE1F46">
        <w:rPr>
          <w:color w:val="000000"/>
          <w:shd w:val="clear" w:color="auto" w:fill="FEFEFE"/>
        </w:rPr>
        <w:t>)</w:t>
      </w:r>
      <w:r>
        <w:rPr>
          <w:color w:val="000000"/>
          <w:shd w:val="clear" w:color="auto" w:fill="FEFEFE"/>
        </w:rPr>
        <w:t xml:space="preserve"> the </w:t>
      </w:r>
      <w:r w:rsidRPr="00BF7991">
        <w:rPr>
          <w:color w:val="000000"/>
          <w:shd w:val="clear" w:color="auto" w:fill="FEFEFE"/>
        </w:rPr>
        <w:t>pandemic. In fact, in many cases, the</w:t>
      </w:r>
      <w:r>
        <w:rPr>
          <w:color w:val="000000"/>
          <w:shd w:val="clear" w:color="auto" w:fill="FEFEFE"/>
        </w:rPr>
        <w:t xml:space="preserve"> existence of new accessibility tools </w:t>
      </w:r>
      <w:r w:rsidRPr="00BE4530">
        <w:rPr>
          <w:color w:val="000000"/>
          <w:shd w:val="clear" w:color="auto" w:fill="FEFEFE"/>
        </w:rPr>
        <w:t>has created a false sense of resources, information, and support</w:t>
      </w:r>
      <w:r w:rsidR="00AD08F8" w:rsidRPr="00BE4530">
        <w:rPr>
          <w:color w:val="000000"/>
          <w:shd w:val="clear" w:color="auto" w:fill="FEFEFE"/>
        </w:rPr>
        <w:t>. So, while COVID powerfully reshaped how we create access in a classroom, it simultaneously complicate</w:t>
      </w:r>
      <w:r w:rsidR="00A45849">
        <w:rPr>
          <w:color w:val="000000"/>
          <w:shd w:val="clear" w:color="auto" w:fill="FEFEFE"/>
        </w:rPr>
        <w:t xml:space="preserve">d </w:t>
      </w:r>
      <w:r w:rsidR="00AD08F8" w:rsidRPr="00BE4530">
        <w:rPr>
          <w:color w:val="000000"/>
          <w:shd w:val="clear" w:color="auto" w:fill="FEFEFE"/>
        </w:rPr>
        <w:t>and blur</w:t>
      </w:r>
      <w:r w:rsidR="00A45849">
        <w:rPr>
          <w:color w:val="000000"/>
          <w:shd w:val="clear" w:color="auto" w:fill="FEFEFE"/>
        </w:rPr>
        <w:t>red</w:t>
      </w:r>
      <w:r w:rsidR="00AD08F8" w:rsidRPr="00BE4530">
        <w:rPr>
          <w:color w:val="000000"/>
          <w:shd w:val="clear" w:color="auto" w:fill="FEFEFE"/>
        </w:rPr>
        <w:t xml:space="preserve"> the distinctions between access need</w:t>
      </w:r>
      <w:r w:rsidR="00F37903" w:rsidRPr="00BE4530">
        <w:rPr>
          <w:color w:val="000000"/>
          <w:shd w:val="clear" w:color="auto" w:fill="FEFEFE"/>
        </w:rPr>
        <w:t>s</w:t>
      </w:r>
      <w:r w:rsidR="00AD08F8" w:rsidRPr="00BE4530">
        <w:rPr>
          <w:color w:val="000000"/>
          <w:shd w:val="clear" w:color="auto" w:fill="FEFEFE"/>
        </w:rPr>
        <w:t xml:space="preserve"> and </w:t>
      </w:r>
      <w:r w:rsidR="005B4BDA">
        <w:rPr>
          <w:color w:val="000000"/>
          <w:shd w:val="clear" w:color="auto" w:fill="FEFEFE"/>
        </w:rPr>
        <w:t xml:space="preserve">personal </w:t>
      </w:r>
      <w:r w:rsidR="00AD08F8" w:rsidRPr="00BF7991">
        <w:rPr>
          <w:color w:val="000000"/>
          <w:shd w:val="clear" w:color="auto" w:fill="FEFEFE"/>
        </w:rPr>
        <w:t>preference</w:t>
      </w:r>
      <w:r w:rsidR="00F37903" w:rsidRPr="00BF7991">
        <w:rPr>
          <w:color w:val="000000"/>
          <w:shd w:val="clear" w:color="auto" w:fill="FEFEFE"/>
        </w:rPr>
        <w:t>s</w:t>
      </w:r>
      <w:r w:rsidR="00AD08F8" w:rsidRPr="00BF7991">
        <w:rPr>
          <w:color w:val="000000"/>
          <w:shd w:val="clear" w:color="auto" w:fill="FEFEFE"/>
        </w:rPr>
        <w:t>.</w:t>
      </w:r>
      <w:r w:rsidR="00AD08F8">
        <w:rPr>
          <w:color w:val="000000"/>
          <w:shd w:val="clear" w:color="auto" w:fill="FFFF00"/>
        </w:rPr>
        <w:t xml:space="preserve"> </w:t>
      </w:r>
    </w:p>
    <w:p w14:paraId="61B35A31" w14:textId="22C466C0" w:rsidR="00F231E8" w:rsidRPr="00004376" w:rsidRDefault="00F37903" w:rsidP="00822E8B">
      <w:pPr>
        <w:pStyle w:val="NormalWeb"/>
        <w:spacing w:before="0" w:beforeAutospacing="0" w:after="0" w:afterAutospacing="0" w:line="360" w:lineRule="auto"/>
        <w:ind w:firstLine="720"/>
      </w:pPr>
      <w:r>
        <w:rPr>
          <w:color w:val="000000"/>
          <w:shd w:val="clear" w:color="auto" w:fill="FEFEFE"/>
        </w:rPr>
        <w:t>E</w:t>
      </w:r>
      <w:r w:rsidR="00F231E8">
        <w:rPr>
          <w:color w:val="000000"/>
          <w:shd w:val="clear" w:color="auto" w:fill="FEFEFE"/>
        </w:rPr>
        <w:t xml:space="preserve">ssentially, the pandemic has created the appearance of universal access for all, </w:t>
      </w:r>
      <w:r w:rsidR="00A45849">
        <w:rPr>
          <w:color w:val="000000"/>
          <w:shd w:val="clear" w:color="auto" w:fill="FEFEFE"/>
        </w:rPr>
        <w:t>even though</w:t>
      </w:r>
      <w:r w:rsidR="00F231E8">
        <w:rPr>
          <w:color w:val="000000"/>
          <w:shd w:val="clear" w:color="auto" w:fill="FEFEFE"/>
        </w:rPr>
        <w:t xml:space="preserve"> </w:t>
      </w:r>
      <w:r w:rsidR="00BF01F0">
        <w:rPr>
          <w:color w:val="000000"/>
          <w:shd w:val="clear" w:color="auto" w:fill="FEFEFE"/>
        </w:rPr>
        <w:t>new</w:t>
      </w:r>
      <w:r w:rsidR="00F231E8">
        <w:rPr>
          <w:color w:val="000000"/>
          <w:shd w:val="clear" w:color="auto" w:fill="FEFEFE"/>
        </w:rPr>
        <w:t xml:space="preserve"> accessibility measures are primarily designed for non-disabled people affected by COVID-19 and serve those with disabilities as an </w:t>
      </w:r>
      <w:r w:rsidR="00F231E8" w:rsidRPr="00464087">
        <w:rPr>
          <w:color w:val="000000"/>
          <w:shd w:val="clear" w:color="auto" w:fill="FEFEFE"/>
        </w:rPr>
        <w:t>afterthought. As Flowers notes</w:t>
      </w:r>
      <w:r w:rsidR="00F231E8">
        <w:rPr>
          <w:color w:val="000000"/>
          <w:shd w:val="clear" w:color="auto" w:fill="FEFEFE"/>
        </w:rPr>
        <w:t>, “responses to a world made newly inaccessible by COVID-19 have taken the disorientation of the able-bodied subject as their starting point, seeking to ‘reorient’ the able-bodied subject through technologies that serve to maintain the ways in which the able-bodied subject can reach those objects placed out of reac</w:t>
      </w:r>
      <w:r w:rsidR="00A45849">
        <w:rPr>
          <w:color w:val="000000"/>
          <w:shd w:val="clear" w:color="auto" w:fill="FEFEFE"/>
        </w:rPr>
        <w:t>h</w:t>
      </w:r>
      <w:r w:rsidR="00BF7991">
        <w:rPr>
          <w:color w:val="000000"/>
          <w:shd w:val="clear" w:color="auto" w:fill="FEFEFE"/>
        </w:rPr>
        <w:t>.</w:t>
      </w:r>
      <w:r w:rsidR="00F47154">
        <w:rPr>
          <w:color w:val="000000"/>
          <w:shd w:val="clear" w:color="auto" w:fill="FEFEFE"/>
        </w:rPr>
        <w:t>”</w:t>
      </w:r>
      <w:r w:rsidR="00BF7991">
        <w:rPr>
          <w:rStyle w:val="FootnoteReference"/>
          <w:color w:val="000000"/>
          <w:shd w:val="clear" w:color="auto" w:fill="FEFEFE"/>
        </w:rPr>
        <w:footnoteReference w:id="6"/>
      </w:r>
      <w:r w:rsidR="00F231E8">
        <w:rPr>
          <w:color w:val="000000"/>
          <w:shd w:val="clear" w:color="auto" w:fill="FEFEFE"/>
        </w:rPr>
        <w:t xml:space="preserve"> By continuing to center on non-disabled experience, COVID-era accessibility </w:t>
      </w:r>
      <w:r w:rsidR="00F231E8" w:rsidRPr="00004376">
        <w:rPr>
          <w:color w:val="000000"/>
          <w:shd w:val="clear" w:color="auto" w:fill="FEFEFE"/>
        </w:rPr>
        <w:t>measures remain surface level and perpetuate the marginalization of disabled bodies for whom many of these new resources remain either insufficient or unobtainable.   </w:t>
      </w:r>
    </w:p>
    <w:p w14:paraId="08EA9DC6" w14:textId="10F69A85" w:rsidR="00F231E8" w:rsidRPr="001D3993" w:rsidRDefault="000A6ECF" w:rsidP="001D3993">
      <w:pPr>
        <w:pStyle w:val="NormalWeb"/>
        <w:spacing w:before="0" w:beforeAutospacing="0" w:after="0" w:afterAutospacing="0" w:line="360" w:lineRule="auto"/>
        <w:ind w:firstLine="720"/>
        <w:rPr>
          <w:color w:val="000000"/>
          <w:shd w:val="clear" w:color="auto" w:fill="FEFEFE"/>
        </w:rPr>
      </w:pPr>
      <w:r w:rsidRPr="00004376">
        <w:rPr>
          <w:color w:val="000000"/>
          <w:shd w:val="clear" w:color="auto" w:fill="FEFEFE"/>
        </w:rPr>
        <w:t xml:space="preserve">While the pandemic may have broadened our concepts of an accessible world, we need to ask, </w:t>
      </w:r>
      <w:r w:rsidRPr="00004376">
        <w:rPr>
          <w:i/>
          <w:iCs/>
          <w:color w:val="000000"/>
          <w:shd w:val="clear" w:color="auto" w:fill="FEFEFE"/>
        </w:rPr>
        <w:t xml:space="preserve">for whom is the world made accessible </w:t>
      </w:r>
      <w:r w:rsidRPr="00004376">
        <w:rPr>
          <w:color w:val="000000"/>
          <w:shd w:val="clear" w:color="auto" w:fill="FEFEFE"/>
        </w:rPr>
        <w:t xml:space="preserve">and, </w:t>
      </w:r>
      <w:r w:rsidRPr="00004376">
        <w:rPr>
          <w:i/>
          <w:iCs/>
          <w:color w:val="000000"/>
          <w:shd w:val="clear" w:color="auto" w:fill="FEFEFE"/>
        </w:rPr>
        <w:t>who is credited for the access?</w:t>
      </w:r>
      <w:r w:rsidR="001D3993" w:rsidRPr="00004376">
        <w:rPr>
          <w:i/>
          <w:iCs/>
          <w:color w:val="000000"/>
          <w:shd w:val="clear" w:color="auto" w:fill="FEFEFE"/>
        </w:rPr>
        <w:t xml:space="preserve"> </w:t>
      </w:r>
      <w:r w:rsidR="001D3993" w:rsidRPr="00004376">
        <w:rPr>
          <w:color w:val="000000"/>
          <w:shd w:val="clear" w:color="auto" w:fill="FEFEFE"/>
        </w:rPr>
        <w:t xml:space="preserve">While </w:t>
      </w:r>
      <w:r w:rsidRPr="00004376">
        <w:rPr>
          <w:color w:val="000000"/>
          <w:shd w:val="clear" w:color="auto" w:fill="FEFEFE"/>
        </w:rPr>
        <w:t>accessibility measures</w:t>
      </w:r>
      <w:r w:rsidR="005C1C3A" w:rsidRPr="00004376">
        <w:rPr>
          <w:color w:val="000000"/>
          <w:shd w:val="clear" w:color="auto" w:fill="FEFEFE"/>
        </w:rPr>
        <w:t xml:space="preserve"> were openly available for non-disabled people</w:t>
      </w:r>
      <w:r w:rsidR="001D3993" w:rsidRPr="00004376">
        <w:rPr>
          <w:color w:val="000000"/>
          <w:shd w:val="clear" w:color="auto" w:fill="FEFEFE"/>
        </w:rPr>
        <w:t xml:space="preserve">, </w:t>
      </w:r>
      <w:r w:rsidR="00F231E8" w:rsidRPr="00004376">
        <w:rPr>
          <w:color w:val="000000"/>
          <w:shd w:val="clear" w:color="auto" w:fill="FEFEFE"/>
        </w:rPr>
        <w:t xml:space="preserve">accessibility is often a </w:t>
      </w:r>
      <w:r w:rsidR="00F231E8" w:rsidRPr="00004376">
        <w:rPr>
          <w:i/>
          <w:iCs/>
          <w:color w:val="000000"/>
          <w:shd w:val="clear" w:color="auto" w:fill="FEFEFE"/>
        </w:rPr>
        <w:t>conscious</w:t>
      </w:r>
      <w:r w:rsidR="00F231E8" w:rsidRPr="00004376">
        <w:rPr>
          <w:color w:val="000000"/>
          <w:shd w:val="clear" w:color="auto" w:fill="FEFEFE"/>
        </w:rPr>
        <w:t xml:space="preserve"> and a </w:t>
      </w:r>
      <w:r w:rsidR="00F231E8" w:rsidRPr="00004376">
        <w:rPr>
          <w:i/>
          <w:iCs/>
          <w:color w:val="000000"/>
          <w:shd w:val="clear" w:color="auto" w:fill="FEFEFE"/>
        </w:rPr>
        <w:t>deliberate</w:t>
      </w:r>
      <w:r w:rsidR="00F231E8" w:rsidRPr="00004376">
        <w:rPr>
          <w:color w:val="000000"/>
          <w:shd w:val="clear" w:color="auto" w:fill="FEFEFE"/>
        </w:rPr>
        <w:t xml:space="preserve"> effort for disabled people</w:t>
      </w:r>
      <w:r w:rsidR="001254B2" w:rsidRPr="00004376">
        <w:rPr>
          <w:color w:val="000000"/>
          <w:shd w:val="clear" w:color="auto" w:fill="FEFEFE"/>
        </w:rPr>
        <w:t xml:space="preserve">. </w:t>
      </w:r>
      <w:r w:rsidR="00F231E8" w:rsidRPr="00004376">
        <w:rPr>
          <w:color w:val="000000"/>
          <w:shd w:val="clear" w:color="auto" w:fill="FEFEFE"/>
        </w:rPr>
        <w:t>For</w:t>
      </w:r>
      <w:r w:rsidR="00F231E8">
        <w:rPr>
          <w:color w:val="000000"/>
          <w:shd w:val="clear" w:color="auto" w:fill="FEFEFE"/>
        </w:rPr>
        <w:t xml:space="preserve"> many, the effort that goes into investigating and planning around accessibility needs comprises the “invisible work” of being disabled in an inaccessible world</w:t>
      </w:r>
      <w:r w:rsidR="003C3F61">
        <w:rPr>
          <w:color w:val="000000"/>
          <w:shd w:val="clear" w:color="auto" w:fill="FEFEFE"/>
        </w:rPr>
        <w:t>.</w:t>
      </w:r>
      <w:r w:rsidR="003C3F61" w:rsidRPr="003C3F61">
        <w:rPr>
          <w:rStyle w:val="FootnoteReference"/>
          <w:color w:val="000000"/>
          <w:shd w:val="clear" w:color="auto" w:fill="FEFEFE"/>
        </w:rPr>
        <w:t xml:space="preserve"> </w:t>
      </w:r>
      <w:r w:rsidR="003C3F61">
        <w:rPr>
          <w:rStyle w:val="FootnoteReference"/>
          <w:color w:val="000000"/>
          <w:shd w:val="clear" w:color="auto" w:fill="FEFEFE"/>
        </w:rPr>
        <w:footnoteReference w:id="7"/>
      </w:r>
      <w:r w:rsidR="003C3F61">
        <w:rPr>
          <w:color w:val="000000"/>
          <w:shd w:val="clear" w:color="auto" w:fill="FEFEFE"/>
        </w:rPr>
        <w:t xml:space="preserve"> </w:t>
      </w:r>
      <w:r w:rsidR="00F231E8">
        <w:rPr>
          <w:color w:val="000000"/>
          <w:shd w:val="clear" w:color="auto" w:fill="FEFEFE"/>
        </w:rPr>
        <w:t xml:space="preserve">As </w:t>
      </w:r>
      <w:r w:rsidR="00F231E8" w:rsidRPr="003C3F61">
        <w:rPr>
          <w:color w:val="000000"/>
          <w:shd w:val="clear" w:color="auto" w:fill="FEFEFE"/>
        </w:rPr>
        <w:t>Jan Grue notes in his article for the Guardian, “The only way to escape this work, short of a utopian remaking of the world, is to stop living. Disabled people know this. They know that</w:t>
      </w:r>
      <w:r w:rsidR="00F231E8">
        <w:rPr>
          <w:color w:val="000000"/>
          <w:shd w:val="clear" w:color="auto" w:fill="FEFEFE"/>
        </w:rPr>
        <w:t xml:space="preserve"> they have the right to access, in principle and in law, but that </w:t>
      </w:r>
      <w:r w:rsidR="00F231E8">
        <w:rPr>
          <w:color w:val="000000"/>
          <w:shd w:val="clear" w:color="auto" w:fill="FEFEFE"/>
        </w:rPr>
        <w:lastRenderedPageBreak/>
        <w:t>they must work, continuously, in order to claim this right.”</w:t>
      </w:r>
      <w:r w:rsidR="003C3F61">
        <w:rPr>
          <w:rStyle w:val="FootnoteReference"/>
          <w:color w:val="000000"/>
          <w:shd w:val="clear" w:color="auto" w:fill="FEFEFE"/>
        </w:rPr>
        <w:footnoteReference w:id="8"/>
      </w:r>
      <w:r w:rsidR="00F231E8">
        <w:rPr>
          <w:color w:val="000000"/>
          <w:shd w:val="clear" w:color="auto" w:fill="FEFEFE"/>
        </w:rPr>
        <w:t>  For non-disabled people, however, accessing the “new normal” was an accident</w:t>
      </w:r>
      <w:r w:rsidR="001254B2">
        <w:rPr>
          <w:color w:val="000000"/>
          <w:shd w:val="clear" w:color="auto" w:fill="FEFEFE"/>
        </w:rPr>
        <w:t>,</w:t>
      </w:r>
      <w:r w:rsidR="00F231E8">
        <w:rPr>
          <w:color w:val="000000"/>
          <w:shd w:val="clear" w:color="auto" w:fill="FEFEFE"/>
        </w:rPr>
        <w:t xml:space="preserve"> a collective coincidence </w:t>
      </w:r>
      <w:r w:rsidR="001254B2">
        <w:rPr>
          <w:color w:val="000000"/>
          <w:shd w:val="clear" w:color="auto" w:fill="FEFEFE"/>
        </w:rPr>
        <w:t>because of</w:t>
      </w:r>
      <w:r w:rsidR="00F231E8">
        <w:rPr>
          <w:color w:val="000000"/>
          <w:shd w:val="clear" w:color="auto" w:fill="FEFEFE"/>
        </w:rPr>
        <w:t xml:space="preserve"> the pandemic. </w:t>
      </w:r>
      <w:r w:rsidR="00FC3B39">
        <w:rPr>
          <w:color w:val="000000"/>
          <w:shd w:val="clear" w:color="auto" w:fill="FEFEFE"/>
        </w:rPr>
        <w:t>Though many accessibility were</w:t>
      </w:r>
      <w:r w:rsidR="0049041E">
        <w:rPr>
          <w:color w:val="000000"/>
          <w:shd w:val="clear" w:color="auto" w:fill="FEFEFE"/>
        </w:rPr>
        <w:t xml:space="preserve"> beneficial for disabled individuals as well, it is essential to remember that the benefits to disabled people were merely side effects of the need to adjust to the normative </w:t>
      </w:r>
      <w:proofErr w:type="spellStart"/>
      <w:r w:rsidR="0049041E">
        <w:rPr>
          <w:color w:val="000000"/>
          <w:shd w:val="clear" w:color="auto" w:fill="FEFEFE"/>
        </w:rPr>
        <w:t>bodymind</w:t>
      </w:r>
      <w:proofErr w:type="spellEnd"/>
      <w:r w:rsidR="0049041E">
        <w:rPr>
          <w:color w:val="000000"/>
          <w:shd w:val="clear" w:color="auto" w:fill="FEFEFE"/>
        </w:rPr>
        <w:t xml:space="preserve">. </w:t>
      </w:r>
    </w:p>
    <w:p w14:paraId="2BB36962" w14:textId="1686C5CF" w:rsidR="00F231E8" w:rsidRPr="00E6006D" w:rsidRDefault="00CE5B42" w:rsidP="00822E8B">
      <w:pPr>
        <w:pStyle w:val="NormalWeb"/>
        <w:spacing w:before="0" w:beforeAutospacing="0" w:after="0" w:afterAutospacing="0" w:line="360" w:lineRule="auto"/>
        <w:ind w:firstLine="720"/>
        <w:rPr>
          <w:color w:val="000000"/>
          <w:shd w:val="clear" w:color="auto" w:fill="FEFEFE"/>
        </w:rPr>
      </w:pPr>
      <w:r>
        <w:rPr>
          <w:color w:val="000000"/>
          <w:shd w:val="clear" w:color="auto" w:fill="FEFEFE"/>
        </w:rPr>
        <w:t>Exacerbating this</w:t>
      </w:r>
      <w:r w:rsidR="00F231E8">
        <w:rPr>
          <w:color w:val="000000"/>
          <w:shd w:val="clear" w:color="auto" w:fill="FEFEFE"/>
        </w:rPr>
        <w:t xml:space="preserve"> is the public perception of these measures as sufficient, in part because of the ways that the language of access and accommodation has entered the public vernacular. Once the purview of </w:t>
      </w:r>
      <w:r w:rsidR="009B05EA" w:rsidRPr="009B05EA">
        <w:rPr>
          <w:color w:val="000000"/>
          <w:shd w:val="clear" w:color="auto" w:fill="FEFEFE"/>
        </w:rPr>
        <w:t>D</w:t>
      </w:r>
      <w:r w:rsidR="00F231E8" w:rsidRPr="009B05EA">
        <w:rPr>
          <w:color w:val="000000"/>
          <w:shd w:val="clear" w:color="auto" w:fill="FEFEFE"/>
        </w:rPr>
        <w:t xml:space="preserve">isability </w:t>
      </w:r>
      <w:r w:rsidR="009B05EA" w:rsidRPr="009B05EA">
        <w:rPr>
          <w:color w:val="000000"/>
          <w:shd w:val="clear" w:color="auto" w:fill="FEFEFE"/>
        </w:rPr>
        <w:t>S</w:t>
      </w:r>
      <w:r w:rsidR="00F231E8" w:rsidRPr="009B05EA">
        <w:rPr>
          <w:color w:val="000000"/>
          <w:shd w:val="clear" w:color="auto" w:fill="FEFEFE"/>
        </w:rPr>
        <w:t>tudies and disability services</w:t>
      </w:r>
      <w:r w:rsidR="00F231E8">
        <w:rPr>
          <w:color w:val="000000"/>
          <w:shd w:val="clear" w:color="auto" w:fill="FEFEFE"/>
        </w:rPr>
        <w:t xml:space="preserve">, the terms access and accommodation are now frequently used in public discourse surrounding COVID-19. </w:t>
      </w:r>
      <w:r w:rsidR="00F231E8" w:rsidRPr="003E5760">
        <w:rPr>
          <w:color w:val="000000"/>
          <w:shd w:val="clear" w:color="auto" w:fill="FEFEFE"/>
        </w:rPr>
        <w:t>As multiple communities borrow and revise these terms in the context of COVID there is a need to rhetorically analyze how these terms function in a disability context to distinguish between broader policies of inclusion and more person-specific modifications to the built environment.</w:t>
      </w:r>
      <w:r w:rsidR="00AB4BAF">
        <w:rPr>
          <w:color w:val="000000"/>
          <w:shd w:val="clear" w:color="auto" w:fill="FEFEFE"/>
        </w:rPr>
        <w:t xml:space="preserve"> A</w:t>
      </w:r>
      <w:r w:rsidR="00F231E8">
        <w:rPr>
          <w:color w:val="000000"/>
          <w:shd w:val="clear" w:color="auto" w:fill="FEFEFE"/>
        </w:rPr>
        <w:t xml:space="preserve">ccommodations, within </w:t>
      </w:r>
      <w:r w:rsidR="00F231E8" w:rsidRPr="00BA79D4">
        <w:rPr>
          <w:color w:val="000000"/>
          <w:shd w:val="clear" w:color="auto" w:fill="FEFEFE"/>
        </w:rPr>
        <w:t>the ADA, are a modification of policy.</w:t>
      </w:r>
      <w:r w:rsidR="003C3F61" w:rsidRPr="00BA79D4">
        <w:rPr>
          <w:shd w:val="clear" w:color="auto" w:fill="FEFEFE"/>
          <w:vertAlign w:val="superscript"/>
        </w:rPr>
        <w:footnoteReference w:id="9"/>
      </w:r>
      <w:r w:rsidR="00F231E8" w:rsidRPr="00BA79D4">
        <w:rPr>
          <w:color w:val="000000"/>
          <w:shd w:val="clear" w:color="auto" w:fill="FEFEFE"/>
        </w:rPr>
        <w:t xml:space="preserve"> Access</w:t>
      </w:r>
      <w:r w:rsidR="00F231E8">
        <w:rPr>
          <w:color w:val="000000"/>
          <w:shd w:val="clear" w:color="auto" w:fill="FEFEFE"/>
        </w:rPr>
        <w:t>, however, refers to “the power, opportunity, permission, or right to come near or into contact with someone or something</w:t>
      </w:r>
      <w:r w:rsidR="00BA79D4">
        <w:rPr>
          <w:color w:val="000000"/>
          <w:shd w:val="clear" w:color="auto" w:fill="FEFEFE"/>
        </w:rPr>
        <w:t>.</w:t>
      </w:r>
      <w:r w:rsidR="00F231E8">
        <w:rPr>
          <w:color w:val="000000"/>
          <w:shd w:val="clear" w:color="auto" w:fill="FEFEFE"/>
        </w:rPr>
        <w:t>”</w:t>
      </w:r>
      <w:r w:rsidR="00BA79D4">
        <w:rPr>
          <w:rStyle w:val="FootnoteReference"/>
          <w:color w:val="000000"/>
          <w:shd w:val="clear" w:color="auto" w:fill="FEFEFE"/>
        </w:rPr>
        <w:footnoteReference w:id="10"/>
      </w:r>
      <w:r w:rsidR="00F231E8">
        <w:rPr>
          <w:color w:val="000000"/>
          <w:shd w:val="clear" w:color="auto" w:fill="FEFEFE"/>
        </w:rPr>
        <w:t xml:space="preserve"> In a </w:t>
      </w:r>
      <w:r w:rsidR="0007568A" w:rsidRPr="009B05EA">
        <w:rPr>
          <w:color w:val="000000"/>
          <w:shd w:val="clear" w:color="auto" w:fill="FEFEFE"/>
        </w:rPr>
        <w:t>D</w:t>
      </w:r>
      <w:r w:rsidR="00F231E8" w:rsidRPr="009B05EA">
        <w:rPr>
          <w:color w:val="000000"/>
          <w:shd w:val="clear" w:color="auto" w:fill="FEFEFE"/>
        </w:rPr>
        <w:t xml:space="preserve">isability </w:t>
      </w:r>
      <w:r w:rsidR="0007568A" w:rsidRPr="009B05EA">
        <w:rPr>
          <w:color w:val="000000"/>
          <w:shd w:val="clear" w:color="auto" w:fill="FEFEFE"/>
        </w:rPr>
        <w:t>S</w:t>
      </w:r>
      <w:r w:rsidR="00F231E8" w:rsidRPr="009B05EA">
        <w:rPr>
          <w:color w:val="000000"/>
          <w:shd w:val="clear" w:color="auto" w:fill="FEFEFE"/>
        </w:rPr>
        <w:t>tudies</w:t>
      </w:r>
      <w:r w:rsidR="00F231E8">
        <w:rPr>
          <w:color w:val="000000"/>
          <w:shd w:val="clear" w:color="auto" w:fill="FEFEFE"/>
        </w:rPr>
        <w:t xml:space="preserve"> context, the goal of accessibility is to achieve equity through opportunity.  </w:t>
      </w:r>
      <w:r w:rsidR="0007568A">
        <w:rPr>
          <w:color w:val="000000"/>
          <w:shd w:val="clear" w:color="auto" w:fill="FEFEFE"/>
        </w:rPr>
        <w:t>Therefore, while a</w:t>
      </w:r>
      <w:r w:rsidR="00F231E8">
        <w:rPr>
          <w:color w:val="000000"/>
          <w:shd w:val="clear" w:color="auto" w:fill="FEFEFE"/>
        </w:rPr>
        <w:t>ccommodations can contribute to access</w:t>
      </w:r>
      <w:r w:rsidR="00DB2A6C">
        <w:rPr>
          <w:color w:val="000000"/>
          <w:shd w:val="clear" w:color="auto" w:fill="FEFEFE"/>
        </w:rPr>
        <w:t>,</w:t>
      </w:r>
      <w:r w:rsidR="00F231E8">
        <w:rPr>
          <w:color w:val="000000"/>
          <w:shd w:val="clear" w:color="auto" w:fill="FEFEFE"/>
        </w:rPr>
        <w:t xml:space="preserve"> </w:t>
      </w:r>
      <w:r w:rsidR="00DB2A6C">
        <w:rPr>
          <w:color w:val="000000"/>
          <w:shd w:val="clear" w:color="auto" w:fill="FEFEFE"/>
        </w:rPr>
        <w:t>they</w:t>
      </w:r>
      <w:r w:rsidR="00F231E8">
        <w:rPr>
          <w:color w:val="000000"/>
          <w:shd w:val="clear" w:color="auto" w:fill="FEFEFE"/>
        </w:rPr>
        <w:t xml:space="preserve"> are ultimately a reactive method to achieving it. </w:t>
      </w:r>
      <w:r w:rsidR="00F231E8" w:rsidRPr="003E5760">
        <w:rPr>
          <w:color w:val="000000"/>
          <w:shd w:val="clear" w:color="auto" w:fill="FEFEFE"/>
        </w:rPr>
        <w:t>The pandemic</w:t>
      </w:r>
      <w:r w:rsidR="00DB2A6C" w:rsidRPr="003E5760">
        <w:rPr>
          <w:color w:val="000000"/>
          <w:shd w:val="clear" w:color="auto" w:fill="FEFEFE"/>
        </w:rPr>
        <w:t xml:space="preserve"> </w:t>
      </w:r>
      <w:r w:rsidR="00F231E8" w:rsidRPr="003E5760">
        <w:rPr>
          <w:color w:val="000000"/>
          <w:shd w:val="clear" w:color="auto" w:fill="FEFEFE"/>
        </w:rPr>
        <w:t>blur</w:t>
      </w:r>
      <w:r w:rsidR="00DB2A6C" w:rsidRPr="003E5760">
        <w:rPr>
          <w:color w:val="000000"/>
          <w:shd w:val="clear" w:color="auto" w:fill="FEFEFE"/>
        </w:rPr>
        <w:t>red</w:t>
      </w:r>
      <w:r w:rsidR="00F231E8" w:rsidRPr="003E5760">
        <w:rPr>
          <w:color w:val="000000"/>
          <w:shd w:val="clear" w:color="auto" w:fill="FEFEFE"/>
        </w:rPr>
        <w:t xml:space="preserve"> the distinction between access and accommodation by applying them to an array of human experience.</w:t>
      </w:r>
      <w:r w:rsidR="00F231E8">
        <w:rPr>
          <w:color w:val="000000"/>
          <w:shd w:val="clear" w:color="auto" w:fill="FEFEFE"/>
        </w:rPr>
        <w:t xml:space="preserve"> </w:t>
      </w:r>
      <w:r w:rsidR="00297E7A">
        <w:rPr>
          <w:color w:val="000000"/>
          <w:shd w:val="clear" w:color="auto" w:fill="FEFEFE"/>
        </w:rPr>
        <w:t>For example, during COVID, closed captions on Zoom presentations provided access to a multitude of users (disabled or not) whereas pre-COVID, closed captions were often viewed as a specific accommodation for those with a hearing impairment.</w:t>
      </w:r>
      <w:r w:rsidR="003E5760">
        <w:rPr>
          <w:color w:val="000000"/>
          <w:shd w:val="clear" w:color="auto" w:fill="FEFEFE"/>
        </w:rPr>
        <w:t xml:space="preserve"> </w:t>
      </w:r>
      <w:r w:rsidR="00F231E8">
        <w:rPr>
          <w:color w:val="000000"/>
          <w:shd w:val="clear" w:color="auto" w:fill="FEFEFE"/>
        </w:rPr>
        <w:t xml:space="preserve">For those of us who work in higher education, we’ve recently been inundated with questions of: </w:t>
      </w:r>
      <w:r w:rsidR="00F231E8" w:rsidRPr="0050086F">
        <w:rPr>
          <w:i/>
          <w:iCs/>
          <w:color w:val="000000"/>
          <w:shd w:val="clear" w:color="auto" w:fill="FEFEFE"/>
        </w:rPr>
        <w:t xml:space="preserve">how do I implement this as an </w:t>
      </w:r>
      <w:r w:rsidR="00F231E8" w:rsidRPr="0050086F">
        <w:rPr>
          <w:i/>
          <w:iCs/>
          <w:color w:val="000000"/>
          <w:shd w:val="clear" w:color="auto" w:fill="FEFEFE"/>
        </w:rPr>
        <w:lastRenderedPageBreak/>
        <w:t>accommodation</w:t>
      </w:r>
      <w:r w:rsidR="00F231E8">
        <w:rPr>
          <w:color w:val="000000"/>
          <w:shd w:val="clear" w:color="auto" w:fill="FEFEFE"/>
        </w:rPr>
        <w:t xml:space="preserve">, or </w:t>
      </w:r>
      <w:r w:rsidR="00F231E8" w:rsidRPr="0050086F">
        <w:rPr>
          <w:i/>
          <w:iCs/>
          <w:color w:val="000000"/>
          <w:shd w:val="clear" w:color="auto" w:fill="FEFEFE"/>
        </w:rPr>
        <w:t>how can I create access (equitable experiences) for all?</w:t>
      </w:r>
      <w:r w:rsidR="00F231E8">
        <w:rPr>
          <w:color w:val="000000"/>
          <w:shd w:val="clear" w:color="auto" w:fill="FEFEFE"/>
        </w:rPr>
        <w:t xml:space="preserve"> Tensions arise when things that used to be considered specific accommodations</w:t>
      </w:r>
      <w:r w:rsidR="0046755B">
        <w:rPr>
          <w:color w:val="000000"/>
          <w:shd w:val="clear" w:color="auto" w:fill="FEFEFE"/>
        </w:rPr>
        <w:t xml:space="preserve"> requiring case-based policy modifications</w:t>
      </w:r>
      <w:r w:rsidR="00F231E8">
        <w:rPr>
          <w:color w:val="000000"/>
          <w:shd w:val="clear" w:color="auto" w:fill="FEFEFE"/>
        </w:rPr>
        <w:t xml:space="preserve"> are now more broadly understood as core features of classroom accessibility. Student, staff, and faculty expectations around what access and accommodation mean and what they look like in the classroom and campus environment are now being challenged in ways that we’ve never seen befor</w:t>
      </w:r>
      <w:r w:rsidR="00C10DEA">
        <w:rPr>
          <w:color w:val="000000"/>
          <w:shd w:val="clear" w:color="auto" w:fill="FEFEFE"/>
        </w:rPr>
        <w:t>e</w:t>
      </w:r>
      <w:r w:rsidR="00F231E8">
        <w:rPr>
          <w:color w:val="000000"/>
          <w:shd w:val="clear" w:color="auto" w:fill="FEFEFE"/>
        </w:rPr>
        <w:t>.</w:t>
      </w:r>
      <w:r w:rsidR="00F231E8" w:rsidRPr="00E6006D">
        <w:rPr>
          <w:color w:val="000000"/>
          <w:shd w:val="clear" w:color="auto" w:fill="FEFEFE"/>
        </w:rPr>
        <w:t xml:space="preserve"> </w:t>
      </w:r>
    </w:p>
    <w:p w14:paraId="2E7EA0D8" w14:textId="4FB16CF9" w:rsidR="006D73C3" w:rsidRDefault="00C10DEA" w:rsidP="00822E8B">
      <w:pPr>
        <w:pStyle w:val="NormalWeb"/>
        <w:spacing w:before="0" w:beforeAutospacing="0" w:after="0" w:afterAutospacing="0" w:line="360" w:lineRule="auto"/>
        <w:ind w:firstLine="720"/>
        <w:rPr>
          <w:color w:val="000000"/>
          <w:shd w:val="clear" w:color="auto" w:fill="FEFEFE"/>
        </w:rPr>
      </w:pPr>
      <w:r>
        <w:rPr>
          <w:color w:val="000000"/>
          <w:shd w:val="clear" w:color="auto" w:fill="FEFEFE"/>
        </w:rPr>
        <w:t>Additionally, t</w:t>
      </w:r>
      <w:r w:rsidR="006D73C3" w:rsidRPr="00E6006D">
        <w:rPr>
          <w:color w:val="000000"/>
          <w:shd w:val="clear" w:color="auto" w:fill="FEFEFE"/>
        </w:rPr>
        <w:t>he process</w:t>
      </w:r>
      <w:r w:rsidR="00A27943">
        <w:rPr>
          <w:color w:val="000000"/>
          <w:shd w:val="clear" w:color="auto" w:fill="FEFEFE"/>
        </w:rPr>
        <w:t>es</w:t>
      </w:r>
      <w:r w:rsidR="006D73C3" w:rsidRPr="00E6006D">
        <w:rPr>
          <w:color w:val="000000"/>
          <w:shd w:val="clear" w:color="auto" w:fill="FEFEFE"/>
        </w:rPr>
        <w:t xml:space="preserve"> for</w:t>
      </w:r>
      <w:r w:rsidR="00A27943">
        <w:rPr>
          <w:color w:val="000000"/>
          <w:shd w:val="clear" w:color="auto" w:fill="FEFEFE"/>
        </w:rPr>
        <w:t xml:space="preserve"> gaining</w:t>
      </w:r>
      <w:r w:rsidR="006D73C3" w:rsidRPr="00E6006D">
        <w:rPr>
          <w:color w:val="000000"/>
          <w:shd w:val="clear" w:color="auto" w:fill="FEFEFE"/>
        </w:rPr>
        <w:t xml:space="preserve"> access and accommodations have become increasingly complicated as we adjust to new forms of “normalcy.” On the surface, </w:t>
      </w:r>
      <w:r w:rsidR="00617413">
        <w:rPr>
          <w:color w:val="000000"/>
          <w:shd w:val="clear" w:color="auto" w:fill="FEFEFE"/>
        </w:rPr>
        <w:t xml:space="preserve">new </w:t>
      </w:r>
      <w:r w:rsidR="00617413" w:rsidRPr="00E6006D">
        <w:rPr>
          <w:color w:val="000000"/>
          <w:shd w:val="clear" w:color="auto" w:fill="FEFEFE"/>
        </w:rPr>
        <w:t>public</w:t>
      </w:r>
      <w:r w:rsidR="006D73C3" w:rsidRPr="00E6006D">
        <w:rPr>
          <w:color w:val="000000"/>
          <w:shd w:val="clear" w:color="auto" w:fill="FEFEFE"/>
        </w:rPr>
        <w:t xml:space="preserve"> perceptions of what is accessible </w:t>
      </w:r>
      <w:r w:rsidR="00617413">
        <w:rPr>
          <w:color w:val="000000"/>
          <w:shd w:val="clear" w:color="auto" w:fill="FEFEFE"/>
        </w:rPr>
        <w:t xml:space="preserve">should have simplified conversations around disability. </w:t>
      </w:r>
      <w:r w:rsidR="006D73C3" w:rsidRPr="00E6006D">
        <w:rPr>
          <w:color w:val="000000"/>
          <w:shd w:val="clear" w:color="auto" w:fill="FEFEFE"/>
        </w:rPr>
        <w:t xml:space="preserve">However, as more people adopt the language of accommodation and access, the discussions we are having become increasingly more complicated. Who needs access? Who needs accommodations? Students now commonly use phrases like “My professor was very accommodating during COVID with online exams because they extended the time for everyone,” or, “My professor is now less accommodating in the in-person environment. How can I get accommodations?” </w:t>
      </w:r>
      <w:r w:rsidR="000658AF">
        <w:rPr>
          <w:color w:val="000000"/>
          <w:shd w:val="clear" w:color="auto" w:fill="FEFEFE"/>
        </w:rPr>
        <w:t>Essentially, the</w:t>
      </w:r>
      <w:r w:rsidR="006D73C3" w:rsidRPr="00E6006D">
        <w:rPr>
          <w:color w:val="000000"/>
          <w:shd w:val="clear" w:color="auto" w:fill="FEFEFE"/>
        </w:rPr>
        <w:t xml:space="preserve"> pandemic raised the bar for what access and accommodations look like on a </w:t>
      </w:r>
      <w:r w:rsidR="00E6006D" w:rsidRPr="00E6006D">
        <w:rPr>
          <w:color w:val="000000"/>
          <w:shd w:val="clear" w:color="auto" w:fill="FEFEFE"/>
        </w:rPr>
        <w:t>day-to-day</w:t>
      </w:r>
      <w:r w:rsidR="006D73C3" w:rsidRPr="00E6006D">
        <w:rPr>
          <w:color w:val="000000"/>
          <w:shd w:val="clear" w:color="auto" w:fill="FEFEFE"/>
        </w:rPr>
        <w:t xml:space="preserve"> basis</w:t>
      </w:r>
      <w:r w:rsidR="00F61636">
        <w:rPr>
          <w:color w:val="000000"/>
          <w:shd w:val="clear" w:color="auto" w:fill="FEFEFE"/>
        </w:rPr>
        <w:t xml:space="preserve"> and changed public expectations of both</w:t>
      </w:r>
      <w:r w:rsidR="006D73C3" w:rsidRPr="00E6006D">
        <w:rPr>
          <w:color w:val="000000"/>
          <w:shd w:val="clear" w:color="auto" w:fill="FEFEFE"/>
        </w:rPr>
        <w:t>. This expectational shift thus changed the way people have come to understand disability. For example, those who</w:t>
      </w:r>
      <w:r w:rsidR="00B61A58" w:rsidRPr="00E6006D">
        <w:rPr>
          <w:color w:val="000000"/>
          <w:shd w:val="clear" w:color="auto" w:fill="FEFEFE"/>
        </w:rPr>
        <w:t xml:space="preserve"> may have</w:t>
      </w:r>
      <w:r w:rsidR="006D73C3" w:rsidRPr="00E6006D">
        <w:rPr>
          <w:color w:val="000000"/>
          <w:shd w:val="clear" w:color="auto" w:fill="FEFEFE"/>
        </w:rPr>
        <w:t xml:space="preserve"> previously resisted </w:t>
      </w:r>
      <w:r w:rsidR="000658AF">
        <w:rPr>
          <w:color w:val="000000"/>
          <w:shd w:val="clear" w:color="auto" w:fill="FEFEFE"/>
        </w:rPr>
        <w:t>identifying</w:t>
      </w:r>
      <w:r w:rsidR="006D73C3" w:rsidRPr="00E6006D">
        <w:rPr>
          <w:color w:val="000000"/>
          <w:shd w:val="clear" w:color="auto" w:fill="FEFEFE"/>
        </w:rPr>
        <w:t xml:space="preserve"> as disabled are now seeking disability diagnoses because of the access that the pandemic </w:t>
      </w:r>
      <w:r w:rsidR="006539D1">
        <w:rPr>
          <w:color w:val="000000"/>
          <w:shd w:val="clear" w:color="auto" w:fill="FEFEFE"/>
        </w:rPr>
        <w:t>gave</w:t>
      </w:r>
      <w:r w:rsidR="006D73C3" w:rsidRPr="00E6006D">
        <w:rPr>
          <w:color w:val="000000"/>
          <w:shd w:val="clear" w:color="auto" w:fill="FEFEFE"/>
        </w:rPr>
        <w:t xml:space="preserve"> them. In higher education specifically, disability, access, and accommodations are increasingly at the forefront of conversations among </w:t>
      </w:r>
      <w:r w:rsidR="006D73C3" w:rsidRPr="00E50FF4">
        <w:rPr>
          <w:color w:val="000000"/>
          <w:shd w:val="clear" w:color="auto" w:fill="FEFEFE"/>
        </w:rPr>
        <w:t>students, staff, and faculty because of this uptick in students seeking formal accommodations</w:t>
      </w:r>
      <w:r w:rsidR="004C4533" w:rsidRPr="00E50FF4">
        <w:rPr>
          <w:color w:val="000000"/>
          <w:shd w:val="clear" w:color="auto" w:fill="FEFEFE"/>
        </w:rPr>
        <w:t>.</w:t>
      </w:r>
      <w:r w:rsidR="00C24C45" w:rsidRPr="00E50FF4">
        <w:rPr>
          <w:rStyle w:val="FootnoteReference"/>
          <w:color w:val="000000"/>
          <w:shd w:val="clear" w:color="auto" w:fill="FEFEFE"/>
        </w:rPr>
        <w:footnoteReference w:id="11"/>
      </w:r>
    </w:p>
    <w:p w14:paraId="70786A85" w14:textId="77777777" w:rsidR="00464087" w:rsidRDefault="00464087" w:rsidP="00822E8B">
      <w:pPr>
        <w:pStyle w:val="NormalWeb"/>
        <w:spacing w:before="0" w:beforeAutospacing="0" w:after="0" w:afterAutospacing="0" w:line="360" w:lineRule="auto"/>
        <w:ind w:firstLine="720"/>
        <w:rPr>
          <w:color w:val="000000"/>
          <w:shd w:val="clear" w:color="auto" w:fill="FEFEFE"/>
        </w:rPr>
      </w:pPr>
    </w:p>
    <w:p w14:paraId="1D2433B0" w14:textId="5397CBC6" w:rsidR="00C51AE2" w:rsidRPr="00C51AE2" w:rsidRDefault="00C51AE2" w:rsidP="00822E8B">
      <w:pPr>
        <w:pStyle w:val="NormalWeb"/>
        <w:spacing w:before="0" w:beforeAutospacing="0" w:after="0" w:afterAutospacing="0" w:line="360" w:lineRule="auto"/>
        <w:rPr>
          <w:b/>
          <w:bCs/>
          <w:color w:val="000000"/>
          <w:shd w:val="clear" w:color="auto" w:fill="FEFEFE"/>
        </w:rPr>
      </w:pPr>
      <w:r>
        <w:rPr>
          <w:b/>
          <w:bCs/>
          <w:color w:val="000000"/>
          <w:shd w:val="clear" w:color="auto" w:fill="FEFEFE"/>
        </w:rPr>
        <w:t>Disability Marginalization and the “Return to the Normal”</w:t>
      </w:r>
    </w:p>
    <w:p w14:paraId="0DC2B670" w14:textId="7935720C" w:rsidR="0030097F" w:rsidRPr="00427456" w:rsidRDefault="00A35CC8" w:rsidP="00822E8B">
      <w:pPr>
        <w:pStyle w:val="NormalWeb"/>
        <w:spacing w:before="0" w:beforeAutospacing="0" w:after="0" w:afterAutospacing="0" w:line="360" w:lineRule="auto"/>
        <w:ind w:firstLine="720"/>
      </w:pPr>
      <w:r w:rsidRPr="00427456">
        <w:rPr>
          <w:color w:val="000000"/>
          <w:shd w:val="clear" w:color="auto" w:fill="FEFEFE"/>
        </w:rPr>
        <w:t xml:space="preserve">Unfortunately, as the pandemic </w:t>
      </w:r>
      <w:r w:rsidR="00C51AE2" w:rsidRPr="00427456">
        <w:rPr>
          <w:color w:val="000000"/>
          <w:shd w:val="clear" w:color="auto" w:fill="FEFEFE"/>
        </w:rPr>
        <w:t>persists</w:t>
      </w:r>
      <w:r w:rsidRPr="00427456">
        <w:rPr>
          <w:color w:val="000000"/>
          <w:shd w:val="clear" w:color="auto" w:fill="FEFEFE"/>
        </w:rPr>
        <w:t xml:space="preserve"> into its third year,</w:t>
      </w:r>
      <w:r w:rsidR="00D35206" w:rsidRPr="00427456">
        <w:rPr>
          <w:color w:val="000000"/>
          <w:shd w:val="clear" w:color="auto" w:fill="FEFEFE"/>
        </w:rPr>
        <w:t xml:space="preserve"> the social, cultural, and environmental flexibility of access and accommodation on college campuses conflicts </w:t>
      </w:r>
      <w:r w:rsidR="00E93C84" w:rsidRPr="00427456">
        <w:rPr>
          <w:color w:val="000000"/>
          <w:shd w:val="clear" w:color="auto" w:fill="FEFEFE"/>
        </w:rPr>
        <w:t>with</w:t>
      </w:r>
      <w:r w:rsidR="00D35206" w:rsidRPr="00427456">
        <w:rPr>
          <w:color w:val="000000"/>
          <w:shd w:val="clear" w:color="auto" w:fill="FEFEFE"/>
        </w:rPr>
        <w:t xml:space="preserve"> </w:t>
      </w:r>
      <w:r w:rsidR="00E93C84" w:rsidRPr="00427456">
        <w:rPr>
          <w:color w:val="000000"/>
          <w:shd w:val="clear" w:color="auto" w:fill="FEFEFE"/>
        </w:rPr>
        <w:t xml:space="preserve">the </w:t>
      </w:r>
      <w:r w:rsidR="00E93C84" w:rsidRPr="00427456">
        <w:rPr>
          <w:color w:val="000000"/>
          <w:shd w:val="clear" w:color="auto" w:fill="FEFEFE"/>
        </w:rPr>
        <w:lastRenderedPageBreak/>
        <w:t xml:space="preserve">availability of </w:t>
      </w:r>
      <w:r w:rsidR="0030097F" w:rsidRPr="00427456">
        <w:rPr>
          <w:color w:val="000000"/>
          <w:shd w:val="clear" w:color="auto" w:fill="FEFEFE"/>
        </w:rPr>
        <w:t xml:space="preserve">public and </w:t>
      </w:r>
      <w:r w:rsidR="00D35206" w:rsidRPr="00427456">
        <w:rPr>
          <w:color w:val="000000"/>
          <w:shd w:val="clear" w:color="auto" w:fill="FEFEFE"/>
        </w:rPr>
        <w:t xml:space="preserve">campus resources. </w:t>
      </w:r>
      <w:r w:rsidR="0030097F" w:rsidRPr="00427456">
        <w:rPr>
          <w:color w:val="000000"/>
          <w:shd w:val="clear" w:color="auto" w:fill="FEFEFE"/>
        </w:rPr>
        <w:t xml:space="preserve">For example, telehealth and telework options that allowed many disabled people to access medical care and continue </w:t>
      </w:r>
      <w:r w:rsidR="00700364">
        <w:rPr>
          <w:color w:val="000000"/>
          <w:shd w:val="clear" w:color="auto" w:fill="FEFEFE"/>
        </w:rPr>
        <w:t>attending school</w:t>
      </w:r>
      <w:r w:rsidR="0030097F" w:rsidRPr="00427456">
        <w:rPr>
          <w:color w:val="000000"/>
          <w:shd w:val="clear" w:color="auto" w:fill="FEFEFE"/>
        </w:rPr>
        <w:t xml:space="preserve"> during the pandemic are now being removed as public health emergency (PHE) initiatives expire.</w:t>
      </w:r>
      <w:r w:rsidR="00EB754E">
        <w:rPr>
          <w:rStyle w:val="FootnoteReference"/>
          <w:color w:val="000000"/>
          <w:shd w:val="clear" w:color="auto" w:fill="FEFEFE"/>
        </w:rPr>
        <w:footnoteReference w:id="12"/>
      </w:r>
      <w:r w:rsidR="0030097F" w:rsidRPr="00427456">
        <w:rPr>
          <w:color w:val="000000"/>
          <w:shd w:val="clear" w:color="auto" w:fill="FEFEFE"/>
        </w:rPr>
        <w:t xml:space="preserve"> Public mask mandates and vaccine mandates that allowed many disabled people to safely leave their homes are being repealed</w:t>
      </w:r>
      <w:r w:rsidR="00752724">
        <w:rPr>
          <w:rStyle w:val="FootnoteReference"/>
          <w:color w:val="000000"/>
          <w:shd w:val="clear" w:color="auto" w:fill="FEFEFE"/>
        </w:rPr>
        <w:footnoteReference w:id="13"/>
      </w:r>
      <w:r w:rsidR="0030097F" w:rsidRPr="00427456">
        <w:rPr>
          <w:color w:val="000000"/>
          <w:shd w:val="clear" w:color="auto" w:fill="FEFEFE"/>
        </w:rPr>
        <w:t xml:space="preserve"> and, in some cases, banned.</w:t>
      </w:r>
      <w:r w:rsidR="007A28CB">
        <w:rPr>
          <w:rStyle w:val="FootnoteReference"/>
          <w:color w:val="000000"/>
          <w:shd w:val="clear" w:color="auto" w:fill="FEFEFE"/>
        </w:rPr>
        <w:footnoteReference w:id="14"/>
      </w:r>
      <w:r w:rsidR="00296A07">
        <w:rPr>
          <w:color w:val="000000"/>
          <w:shd w:val="clear" w:color="auto" w:fill="FEFEFE"/>
        </w:rPr>
        <w:t xml:space="preserve"> </w:t>
      </w:r>
      <w:r w:rsidR="00752724">
        <w:rPr>
          <w:rStyle w:val="FootnoteReference"/>
          <w:color w:val="000000"/>
          <w:shd w:val="clear" w:color="auto" w:fill="FEFEFE"/>
        </w:rPr>
        <w:footnoteReference w:id="15"/>
      </w:r>
      <w:r w:rsidR="0030097F" w:rsidRPr="00427456">
        <w:rPr>
          <w:color w:val="000000"/>
          <w:shd w:val="clear" w:color="auto" w:fill="FEFEFE"/>
        </w:rPr>
        <w:t> Within higher education, almost 90% of campuses returned to in-person learning for the 2022 spring semester, even though many haven’t required students, faculty or staff to be vaccinated or to wear masks</w:t>
      </w:r>
      <w:r w:rsidR="00296A07">
        <w:rPr>
          <w:color w:val="000000"/>
          <w:shd w:val="clear" w:color="auto" w:fill="FEFEFE"/>
        </w:rPr>
        <w:t>.</w:t>
      </w:r>
      <w:r w:rsidR="00296A07">
        <w:rPr>
          <w:rStyle w:val="FootnoteReference"/>
          <w:color w:val="000000"/>
          <w:shd w:val="clear" w:color="auto" w:fill="FEFEFE"/>
        </w:rPr>
        <w:footnoteReference w:id="16"/>
      </w:r>
    </w:p>
    <w:p w14:paraId="13427C6A" w14:textId="74C6955E" w:rsidR="00F231E8" w:rsidRDefault="00F231E8" w:rsidP="00C33A07">
      <w:pPr>
        <w:pStyle w:val="NormalWeb"/>
        <w:spacing w:before="0" w:beforeAutospacing="0" w:after="0" w:afterAutospacing="0" w:line="360" w:lineRule="auto"/>
        <w:ind w:firstLine="720"/>
        <w:rPr>
          <w:color w:val="000000"/>
          <w:shd w:val="clear" w:color="auto" w:fill="FEFEFE"/>
        </w:rPr>
      </w:pPr>
      <w:r w:rsidRPr="003A5770">
        <w:rPr>
          <w:rStyle w:val="apple-tab-span"/>
          <w:color w:val="000000"/>
          <w:shd w:val="clear" w:color="auto" w:fill="FEFEFE"/>
        </w:rPr>
        <w:tab/>
      </w:r>
      <w:r w:rsidR="00C33A07">
        <w:rPr>
          <w:rStyle w:val="apple-tab-span"/>
          <w:color w:val="000000"/>
          <w:shd w:val="clear" w:color="auto" w:fill="FEFEFE"/>
        </w:rPr>
        <w:tab/>
      </w:r>
      <w:r w:rsidRPr="003A5770">
        <w:rPr>
          <w:color w:val="000000"/>
          <w:shd w:val="clear" w:color="auto" w:fill="FEFEFE"/>
        </w:rPr>
        <w:t xml:space="preserve">While these “return to normal” initiatives are often celebrated by non-disabled people looking forward to </w:t>
      </w:r>
      <w:r w:rsidR="008379C5" w:rsidRPr="003A5770">
        <w:rPr>
          <w:color w:val="000000"/>
          <w:shd w:val="clear" w:color="auto" w:fill="FEFEFE"/>
        </w:rPr>
        <w:t>the end of the pandemic</w:t>
      </w:r>
      <w:r w:rsidRPr="003A5770">
        <w:rPr>
          <w:color w:val="000000"/>
          <w:shd w:val="clear" w:color="auto" w:fill="FEFEFE"/>
        </w:rPr>
        <w:t xml:space="preserve">, disability rights activists emphasize that these rollbacks in preventative measures and protections are re-marginalizing disabled people after the potential for access was made clear. As disability rights activist Alice Wong notes in an interview with NPR, "There is a casual acceptance that the pandemic will turn into something endemic, an inevitability that 'everyone' will get COVID eventually…Leaders, medical professionals and public health experts have said something along those lines with zero acknowledgement that people will still die and those deaths will be </w:t>
      </w:r>
      <w:r w:rsidRPr="00464087">
        <w:rPr>
          <w:color w:val="000000"/>
          <w:shd w:val="clear" w:color="auto" w:fill="FEFEFE"/>
        </w:rPr>
        <w:t>disproportionately from high</w:t>
      </w:r>
      <w:r w:rsidRPr="003A5770">
        <w:rPr>
          <w:color w:val="000000"/>
          <w:shd w:val="clear" w:color="auto" w:fill="FEFEFE"/>
        </w:rPr>
        <w:t>-risk groups</w:t>
      </w:r>
      <w:r w:rsidR="00296A07">
        <w:rPr>
          <w:color w:val="000000"/>
          <w:shd w:val="clear" w:color="auto" w:fill="FEFEFE"/>
        </w:rPr>
        <w:t>.</w:t>
      </w:r>
      <w:r w:rsidRPr="003A5770">
        <w:rPr>
          <w:color w:val="000000"/>
          <w:shd w:val="clear" w:color="auto" w:fill="FEFEFE"/>
        </w:rPr>
        <w:t>”</w:t>
      </w:r>
      <w:r w:rsidR="00A02C1C">
        <w:rPr>
          <w:rStyle w:val="FootnoteReference"/>
          <w:color w:val="000000"/>
          <w:shd w:val="clear" w:color="auto" w:fill="FEFEFE"/>
        </w:rPr>
        <w:footnoteReference w:id="17"/>
      </w:r>
      <w:r w:rsidRPr="003A5770">
        <w:rPr>
          <w:color w:val="000000"/>
          <w:shd w:val="clear" w:color="auto" w:fill="FEFEFE"/>
        </w:rPr>
        <w:t xml:space="preserve"> Jordan </w:t>
      </w:r>
      <w:proofErr w:type="spellStart"/>
      <w:r w:rsidRPr="00464087">
        <w:rPr>
          <w:color w:val="000000"/>
          <w:shd w:val="clear" w:color="auto" w:fill="FEFEFE"/>
        </w:rPr>
        <w:t>Grunawalt</w:t>
      </w:r>
      <w:proofErr w:type="spellEnd"/>
      <w:r w:rsidRPr="00464087">
        <w:rPr>
          <w:color w:val="000000"/>
          <w:shd w:val="clear" w:color="auto" w:fill="FEFEFE"/>
        </w:rPr>
        <w:t xml:space="preserve"> refers</w:t>
      </w:r>
      <w:r w:rsidRPr="003A5770">
        <w:rPr>
          <w:color w:val="000000"/>
          <w:shd w:val="clear" w:color="auto" w:fill="FEFEFE"/>
        </w:rPr>
        <w:t xml:space="preserve"> to these “return to normal” movements as </w:t>
      </w:r>
      <w:proofErr w:type="spellStart"/>
      <w:r w:rsidRPr="003A5770">
        <w:rPr>
          <w:color w:val="000000"/>
          <w:shd w:val="clear" w:color="auto" w:fill="FEFEFE"/>
        </w:rPr>
        <w:t>necropolitics</w:t>
      </w:r>
      <w:proofErr w:type="spellEnd"/>
      <w:r w:rsidRPr="003A5770">
        <w:rPr>
          <w:color w:val="000000"/>
          <w:shd w:val="clear" w:color="auto" w:fill="FEFEFE"/>
        </w:rPr>
        <w:t xml:space="preserve"> </w:t>
      </w:r>
      <w:r w:rsidRPr="003A5770">
        <w:rPr>
          <w:color w:val="000000"/>
          <w:shd w:val="clear" w:color="auto" w:fill="FEFEFE"/>
        </w:rPr>
        <w:lastRenderedPageBreak/>
        <w:t>in which “some lives (poor, elderly, disabled) are seen as weighing the country down, so they must be sacrificed in order for the majority to return to normal.”</w:t>
      </w:r>
      <w:r w:rsidR="00A02C1C">
        <w:rPr>
          <w:rStyle w:val="FootnoteReference"/>
          <w:color w:val="000000"/>
          <w:shd w:val="clear" w:color="auto" w:fill="FEFEFE"/>
        </w:rPr>
        <w:footnoteReference w:id="18"/>
      </w:r>
      <w:r w:rsidRPr="003A5770">
        <w:rPr>
          <w:color w:val="000000"/>
          <w:shd w:val="clear" w:color="auto" w:fill="FEFEFE"/>
        </w:rPr>
        <w:t>  </w:t>
      </w:r>
      <w:r w:rsidR="003A5770" w:rsidRPr="003A5770">
        <w:rPr>
          <w:color w:val="000000"/>
          <w:shd w:val="clear" w:color="auto" w:fill="FEFEFE"/>
        </w:rPr>
        <w:t>Overall,</w:t>
      </w:r>
      <w:r w:rsidRPr="003A5770">
        <w:rPr>
          <w:color w:val="000000"/>
          <w:shd w:val="clear" w:color="auto" w:fill="FEFEFE"/>
        </w:rPr>
        <w:t xml:space="preserve"> the accessibility measures and increased public awareness around disability and accommodation linked to COVID-19 should not be oversimplified as wholly positive when in fact such awareness and temporary accommodations can lead to the further oppression of disabled people as public concern o</w:t>
      </w:r>
      <w:r w:rsidR="000577A1" w:rsidRPr="003A5770">
        <w:rPr>
          <w:color w:val="000000"/>
          <w:shd w:val="clear" w:color="auto" w:fill="FEFEFE"/>
        </w:rPr>
        <w:t>ver</w:t>
      </w:r>
      <w:r w:rsidRPr="003A5770">
        <w:rPr>
          <w:color w:val="000000"/>
          <w:shd w:val="clear" w:color="auto" w:fill="FEFEFE"/>
        </w:rPr>
        <w:t xml:space="preserve"> COVID wanes. </w:t>
      </w:r>
    </w:p>
    <w:p w14:paraId="005EFFDC" w14:textId="77777777" w:rsidR="00464087" w:rsidRPr="003A5770" w:rsidRDefault="00464087" w:rsidP="00822E8B">
      <w:pPr>
        <w:pStyle w:val="NormalWeb"/>
        <w:spacing w:before="0" w:beforeAutospacing="0" w:after="0" w:afterAutospacing="0" w:line="360" w:lineRule="auto"/>
        <w:rPr>
          <w:color w:val="000000"/>
          <w:shd w:val="clear" w:color="auto" w:fill="FFFF00"/>
        </w:rPr>
      </w:pPr>
    </w:p>
    <w:p w14:paraId="78AB9DEF" w14:textId="77777777" w:rsidR="00F231E8" w:rsidRDefault="00F231E8" w:rsidP="00822E8B">
      <w:pPr>
        <w:pStyle w:val="NormalWeb"/>
        <w:spacing w:before="0" w:beforeAutospacing="0" w:after="0" w:afterAutospacing="0" w:line="360" w:lineRule="auto"/>
      </w:pPr>
      <w:r>
        <w:rPr>
          <w:b/>
          <w:bCs/>
          <w:color w:val="000000"/>
          <w:shd w:val="clear" w:color="auto" w:fill="FEFEFE"/>
        </w:rPr>
        <w:t>A Note of Hope</w:t>
      </w:r>
    </w:p>
    <w:p w14:paraId="6AD6D933" w14:textId="23FC8DC4" w:rsidR="00F231E8" w:rsidRPr="00E20AF1" w:rsidRDefault="001756E6" w:rsidP="00464087">
      <w:pPr>
        <w:pStyle w:val="NormalWeb"/>
        <w:spacing w:before="0" w:beforeAutospacing="0" w:after="0" w:afterAutospacing="0" w:line="360" w:lineRule="auto"/>
        <w:ind w:firstLine="720"/>
      </w:pPr>
      <w:r w:rsidRPr="005109F9">
        <w:rPr>
          <w:color w:val="000000"/>
        </w:rPr>
        <w:t>Despite these challenge</w:t>
      </w:r>
      <w:r w:rsidR="005109F9">
        <w:rPr>
          <w:color w:val="000000"/>
        </w:rPr>
        <w:t>s</w:t>
      </w:r>
      <w:r w:rsidRPr="005109F9">
        <w:rPr>
          <w:color w:val="000000"/>
        </w:rPr>
        <w:t>, however</w:t>
      </w:r>
      <w:r w:rsidR="00F231E8" w:rsidRPr="005109F9">
        <w:rPr>
          <w:color w:val="000000"/>
        </w:rPr>
        <w:t xml:space="preserve">, we wish to end on a message of hope. As much as the pandemic has highlighted inaccessibility and existing inequities, it also provides us with a fruitful opportunity. </w:t>
      </w:r>
      <w:r w:rsidRPr="005109F9">
        <w:rPr>
          <w:color w:val="000000"/>
          <w:shd w:val="clear" w:color="auto" w:fill="FEFEFE"/>
        </w:rPr>
        <w:t xml:space="preserve">By attending to the ways in which access, accommodation, disability, and the concept of normalcy </w:t>
      </w:r>
      <w:r w:rsidR="00DA3B13">
        <w:rPr>
          <w:color w:val="000000"/>
          <w:shd w:val="clear" w:color="auto" w:fill="FEFEFE"/>
        </w:rPr>
        <w:t>are</w:t>
      </w:r>
      <w:r w:rsidRPr="005109F9">
        <w:rPr>
          <w:color w:val="000000"/>
          <w:shd w:val="clear" w:color="auto" w:fill="FEFEFE"/>
        </w:rPr>
        <w:t xml:space="preserve"> defined and shaped within the purview of the pandemic and in the idea of a post-pandemic future, we suggest ways that higher education can continue to adapt to this ever-changing environment.</w:t>
      </w:r>
      <w:r w:rsidR="00E20AF1" w:rsidRPr="005109F9">
        <w:t xml:space="preserve"> </w:t>
      </w:r>
      <w:r w:rsidR="00F231E8" w:rsidRPr="005109F9">
        <w:rPr>
          <w:color w:val="000000"/>
        </w:rPr>
        <w:t xml:space="preserve">We </w:t>
      </w:r>
      <w:r w:rsidR="00E20AF1" w:rsidRPr="005109F9">
        <w:rPr>
          <w:color w:val="000000"/>
        </w:rPr>
        <w:t>advocate continued change in</w:t>
      </w:r>
      <w:r w:rsidR="00F231E8" w:rsidRPr="005109F9">
        <w:rPr>
          <w:color w:val="000000"/>
        </w:rPr>
        <w:t xml:space="preserve"> three areas: ideological, practical, and social.</w:t>
      </w:r>
    </w:p>
    <w:p w14:paraId="13160EEB" w14:textId="5047191F" w:rsidR="002520A2" w:rsidRDefault="002520A2" w:rsidP="00822E8B">
      <w:pPr>
        <w:pStyle w:val="NormalWeb"/>
        <w:spacing w:before="0" w:beforeAutospacing="0" w:after="0" w:afterAutospacing="0" w:line="360" w:lineRule="auto"/>
        <w:rPr>
          <w:color w:val="000000"/>
        </w:rPr>
      </w:pPr>
    </w:p>
    <w:p w14:paraId="4F5771A3" w14:textId="77777777" w:rsidR="00F231E8" w:rsidRDefault="00F231E8" w:rsidP="00822E8B">
      <w:pPr>
        <w:pStyle w:val="NormalWeb"/>
        <w:spacing w:before="0" w:beforeAutospacing="0" w:after="0" w:afterAutospacing="0" w:line="360" w:lineRule="auto"/>
      </w:pPr>
      <w:r>
        <w:rPr>
          <w:i/>
          <w:iCs/>
          <w:color w:val="000000"/>
        </w:rPr>
        <w:t>Ideological</w:t>
      </w:r>
    </w:p>
    <w:p w14:paraId="68AF5AA5" w14:textId="766174DA" w:rsidR="00F231E8" w:rsidRDefault="00F231E8" w:rsidP="00464087">
      <w:pPr>
        <w:pStyle w:val="NormalWeb"/>
        <w:spacing w:before="0" w:beforeAutospacing="0" w:after="0" w:afterAutospacing="0" w:line="360" w:lineRule="auto"/>
        <w:ind w:firstLine="720"/>
        <w:rPr>
          <w:color w:val="000000"/>
          <w:shd w:val="clear" w:color="auto" w:fill="FEFEFE"/>
        </w:rPr>
      </w:pPr>
      <w:r>
        <w:rPr>
          <w:rStyle w:val="apple-tab-span"/>
          <w:b/>
          <w:bCs/>
          <w:color w:val="000000"/>
        </w:rPr>
        <w:tab/>
      </w:r>
      <w:r>
        <w:rPr>
          <w:color w:val="000000"/>
        </w:rPr>
        <w:t>As our previous discussions of access and non</w:t>
      </w:r>
      <w:r w:rsidR="00DF0687">
        <w:rPr>
          <w:color w:val="000000"/>
        </w:rPr>
        <w:t>-</w:t>
      </w:r>
      <w:r>
        <w:rPr>
          <w:color w:val="000000"/>
        </w:rPr>
        <w:t>disabled subjects ha</w:t>
      </w:r>
      <w:r w:rsidR="009F70E3">
        <w:rPr>
          <w:color w:val="000000"/>
        </w:rPr>
        <w:t>ve</w:t>
      </w:r>
      <w:r>
        <w:rPr>
          <w:color w:val="000000"/>
        </w:rPr>
        <w:t xml:space="preserve"> shown, COVID has helped </w:t>
      </w:r>
      <w:r w:rsidR="0012123B">
        <w:rPr>
          <w:color w:val="000000"/>
        </w:rPr>
        <w:t>non</w:t>
      </w:r>
      <w:r w:rsidR="009F70E3">
        <w:rPr>
          <w:color w:val="000000"/>
        </w:rPr>
        <w:t>-</w:t>
      </w:r>
      <w:r w:rsidR="0012123B">
        <w:rPr>
          <w:color w:val="000000"/>
        </w:rPr>
        <w:t xml:space="preserve">disabled people in higher education </w:t>
      </w:r>
      <w:r>
        <w:rPr>
          <w:color w:val="000000"/>
        </w:rPr>
        <w:t xml:space="preserve">understand access and disability as shared experiences as built environments on campuses were adapted to meet the </w:t>
      </w:r>
      <w:r w:rsidR="00124F0D">
        <w:rPr>
          <w:color w:val="000000"/>
        </w:rPr>
        <w:t xml:space="preserve">broader </w:t>
      </w:r>
      <w:r>
        <w:rPr>
          <w:color w:val="000000"/>
        </w:rPr>
        <w:t>accessibility needs</w:t>
      </w:r>
      <w:r w:rsidR="00124F0D">
        <w:rPr>
          <w:color w:val="000000"/>
        </w:rPr>
        <w:t xml:space="preserve"> during the pandemic</w:t>
      </w:r>
      <w:r>
        <w:rPr>
          <w:color w:val="000000"/>
        </w:rPr>
        <w:t xml:space="preserve">. </w:t>
      </w:r>
      <w:r>
        <w:rPr>
          <w:color w:val="000000"/>
          <w:shd w:val="clear" w:color="auto" w:fill="FEFEFE"/>
        </w:rPr>
        <w:t>Indeed, on many campuses, including ours, problems that would have previously been the sole responsibility of disability services, human resources departments, or offices of institutional equity are now tackled by a larger range of campus partners.</w:t>
      </w:r>
      <w:r w:rsidR="002971AC">
        <w:rPr>
          <w:rStyle w:val="FootnoteReference"/>
          <w:color w:val="000000"/>
          <w:shd w:val="clear" w:color="auto" w:fill="FEFEFE"/>
        </w:rPr>
        <w:footnoteReference w:id="19"/>
      </w:r>
      <w:r>
        <w:rPr>
          <w:color w:val="000000"/>
          <w:shd w:val="clear" w:color="auto" w:fill="FEFEFE"/>
        </w:rPr>
        <w:t xml:space="preserve"> The </w:t>
      </w:r>
      <w:r w:rsidRPr="003043AA">
        <w:rPr>
          <w:color w:val="000000"/>
          <w:shd w:val="clear" w:color="auto" w:fill="FEFEFE"/>
        </w:rPr>
        <w:lastRenderedPageBreak/>
        <w:t>success of COVID-era accessibility measures and projects reveals the capacity of institutions to fix inaccessibility issues</w:t>
      </w:r>
      <w:r w:rsidR="0012123B" w:rsidRPr="003043AA">
        <w:rPr>
          <w:color w:val="000000"/>
          <w:shd w:val="clear" w:color="auto" w:fill="FEFEFE"/>
        </w:rPr>
        <w:t xml:space="preserve">. </w:t>
      </w:r>
      <w:r w:rsidRPr="003043AA">
        <w:rPr>
          <w:color w:val="000000"/>
          <w:shd w:val="clear" w:color="auto" w:fill="FEFEFE"/>
        </w:rPr>
        <w:t>As</w:t>
      </w:r>
      <w:r>
        <w:rPr>
          <w:color w:val="000000"/>
          <w:shd w:val="clear" w:color="auto" w:fill="FEFEFE"/>
        </w:rPr>
        <w:t xml:space="preserve"> </w:t>
      </w:r>
      <w:proofErr w:type="spellStart"/>
      <w:r>
        <w:rPr>
          <w:color w:val="000000"/>
          <w:shd w:val="clear" w:color="auto" w:fill="FEFEFE"/>
        </w:rPr>
        <w:t>Aydos</w:t>
      </w:r>
      <w:proofErr w:type="spellEnd"/>
      <w:r>
        <w:rPr>
          <w:color w:val="000000"/>
          <w:shd w:val="clear" w:color="auto" w:fill="FEFEFE"/>
        </w:rPr>
        <w:t xml:space="preserve">, </w:t>
      </w:r>
      <w:proofErr w:type="spellStart"/>
      <w:r>
        <w:rPr>
          <w:color w:val="000000"/>
          <w:shd w:val="clear" w:color="auto" w:fill="FEFEFE"/>
        </w:rPr>
        <w:t>Navarini</w:t>
      </w:r>
      <w:proofErr w:type="spellEnd"/>
      <w:r>
        <w:rPr>
          <w:color w:val="000000"/>
          <w:shd w:val="clear" w:color="auto" w:fill="FEFEFE"/>
        </w:rPr>
        <w:t xml:space="preserve">, and Oliveria note, </w:t>
      </w:r>
      <w:r w:rsidRPr="003043AA">
        <w:rPr>
          <w:color w:val="000000"/>
          <w:shd w:val="clear" w:color="auto" w:fill="FEFEFE"/>
        </w:rPr>
        <w:t>“If before the pandemic, companies used the lack of suitable technology or people’s resistance to them as a reason to keep people with disabilities from the workplace, the pandemic evinced that these were no more than false excuses</w:t>
      </w:r>
      <w:r w:rsidR="00635265" w:rsidRPr="003043AA">
        <w:rPr>
          <w:color w:val="000000"/>
          <w:shd w:val="clear" w:color="auto" w:fill="FEFEFE"/>
        </w:rPr>
        <w:t>.”</w:t>
      </w:r>
      <w:r w:rsidR="00635265" w:rsidRPr="003043AA">
        <w:rPr>
          <w:shd w:val="clear" w:color="auto" w:fill="FEFEFE"/>
          <w:vertAlign w:val="superscript"/>
        </w:rPr>
        <w:footnoteReference w:id="20"/>
      </w:r>
      <w:r w:rsidR="00635265" w:rsidRPr="003043AA">
        <w:rPr>
          <w:color w:val="000000"/>
          <w:shd w:val="clear" w:color="auto" w:fill="FEFEFE"/>
        </w:rPr>
        <w:t xml:space="preserve"> </w:t>
      </w:r>
      <w:r w:rsidR="009551A6" w:rsidRPr="003043AA">
        <w:rPr>
          <w:color w:val="000000"/>
          <w:shd w:val="clear" w:color="auto" w:fill="FEFEFE"/>
        </w:rPr>
        <w:t>P</w:t>
      </w:r>
      <w:r w:rsidRPr="003043AA">
        <w:rPr>
          <w:color w:val="000000"/>
          <w:shd w:val="clear" w:color="auto" w:fill="FEFEFE"/>
        </w:rPr>
        <w:t>andemic</w:t>
      </w:r>
      <w:r>
        <w:rPr>
          <w:color w:val="000000"/>
          <w:shd w:val="clear" w:color="auto" w:fill="FEFEFE"/>
        </w:rPr>
        <w:t xml:space="preserve">-era measures </w:t>
      </w:r>
      <w:r w:rsidR="00F4238A">
        <w:rPr>
          <w:color w:val="000000"/>
          <w:shd w:val="clear" w:color="auto" w:fill="FEFEFE"/>
        </w:rPr>
        <w:t>illustrate that</w:t>
      </w:r>
      <w:r>
        <w:rPr>
          <w:color w:val="000000"/>
          <w:shd w:val="clear" w:color="auto" w:fill="FEFEFE"/>
        </w:rPr>
        <w:t xml:space="preserve"> non-disabled faculty, staff, and</w:t>
      </w:r>
      <w:r w:rsidR="00F4238A">
        <w:rPr>
          <w:color w:val="000000"/>
          <w:shd w:val="clear" w:color="auto" w:fill="FEFEFE"/>
        </w:rPr>
        <w:t xml:space="preserve"> administrators</w:t>
      </w:r>
      <w:r>
        <w:rPr>
          <w:color w:val="000000"/>
          <w:shd w:val="clear" w:color="auto" w:fill="FEFEFE"/>
        </w:rPr>
        <w:t xml:space="preserve"> </w:t>
      </w:r>
      <w:r w:rsidR="00F4238A">
        <w:rPr>
          <w:color w:val="000000"/>
          <w:shd w:val="clear" w:color="auto" w:fill="FEFEFE"/>
        </w:rPr>
        <w:t xml:space="preserve">can and should prioritize </w:t>
      </w:r>
      <w:r>
        <w:rPr>
          <w:color w:val="000000"/>
          <w:shd w:val="clear" w:color="auto" w:fill="FEFEFE"/>
        </w:rPr>
        <w:t xml:space="preserve">accessibility </w:t>
      </w:r>
      <w:r w:rsidR="00F4238A">
        <w:rPr>
          <w:color w:val="000000"/>
          <w:shd w:val="clear" w:color="auto" w:fill="FEFEFE"/>
        </w:rPr>
        <w:t>needs</w:t>
      </w:r>
      <w:r>
        <w:rPr>
          <w:color w:val="000000"/>
          <w:shd w:val="clear" w:color="auto" w:fill="FEFEFE"/>
        </w:rPr>
        <w:t xml:space="preserve"> as </w:t>
      </w:r>
      <w:r w:rsidR="00F4238A">
        <w:rPr>
          <w:color w:val="000000"/>
          <w:shd w:val="clear" w:color="auto" w:fill="FEFEFE"/>
        </w:rPr>
        <w:t xml:space="preserve">essential </w:t>
      </w:r>
      <w:r>
        <w:rPr>
          <w:color w:val="000000"/>
          <w:shd w:val="clear" w:color="auto" w:fill="FEFEFE"/>
        </w:rPr>
        <w:t xml:space="preserve">to university </w:t>
      </w:r>
      <w:r w:rsidR="00F4238A">
        <w:rPr>
          <w:color w:val="000000"/>
          <w:shd w:val="clear" w:color="auto" w:fill="FEFEFE"/>
        </w:rPr>
        <w:t>operations</w:t>
      </w:r>
      <w:r w:rsidR="0071305C">
        <w:rPr>
          <w:color w:val="000000"/>
          <w:shd w:val="clear" w:color="auto" w:fill="FEFEFE"/>
        </w:rPr>
        <w:t>.</w:t>
      </w:r>
    </w:p>
    <w:p w14:paraId="642F9A76" w14:textId="77777777" w:rsidR="00464087" w:rsidRDefault="00464087" w:rsidP="00464087">
      <w:pPr>
        <w:pStyle w:val="NormalWeb"/>
        <w:spacing w:before="0" w:beforeAutospacing="0" w:after="0" w:afterAutospacing="0" w:line="360" w:lineRule="auto"/>
        <w:ind w:firstLine="720"/>
      </w:pPr>
    </w:p>
    <w:p w14:paraId="2A356361" w14:textId="77777777" w:rsidR="00F231E8" w:rsidRDefault="00F231E8" w:rsidP="00822E8B">
      <w:pPr>
        <w:pStyle w:val="NormalWeb"/>
        <w:spacing w:before="0" w:beforeAutospacing="0" w:after="0" w:afterAutospacing="0" w:line="360" w:lineRule="auto"/>
      </w:pPr>
      <w:r>
        <w:rPr>
          <w:i/>
          <w:iCs/>
          <w:color w:val="000000"/>
        </w:rPr>
        <w:t>Practical</w:t>
      </w:r>
    </w:p>
    <w:p w14:paraId="5D32483E" w14:textId="2459E2F0" w:rsidR="00F231E8" w:rsidRDefault="00F231E8" w:rsidP="00464087">
      <w:pPr>
        <w:pStyle w:val="NormalWeb"/>
        <w:spacing w:before="0" w:beforeAutospacing="0" w:after="0" w:afterAutospacing="0" w:line="360" w:lineRule="auto"/>
        <w:ind w:firstLine="720"/>
        <w:rPr>
          <w:color w:val="000000"/>
          <w:shd w:val="clear" w:color="auto" w:fill="FEFEFE"/>
        </w:rPr>
      </w:pPr>
      <w:r>
        <w:rPr>
          <w:rStyle w:val="apple-tab-span"/>
          <w:i/>
          <w:iCs/>
          <w:color w:val="000000"/>
        </w:rPr>
        <w:tab/>
      </w:r>
      <w:r>
        <w:rPr>
          <w:color w:val="000000"/>
        </w:rPr>
        <w:t>As many researchers have noted, COVID</w:t>
      </w:r>
      <w:r w:rsidR="0071305C">
        <w:rPr>
          <w:color w:val="000000"/>
        </w:rPr>
        <w:t>-19</w:t>
      </w:r>
      <w:r>
        <w:rPr>
          <w:color w:val="000000"/>
        </w:rPr>
        <w:t xml:space="preserve"> </w:t>
      </w:r>
      <w:r w:rsidR="0071305C">
        <w:rPr>
          <w:color w:val="000000"/>
        </w:rPr>
        <w:t>illustrated</w:t>
      </w:r>
      <w:r>
        <w:rPr>
          <w:color w:val="000000"/>
        </w:rPr>
        <w:t xml:space="preserve"> the importance of student support services on college campuses, including disability services. As students’ need for mental health support, virtual learning options, and accommodations grew, campuses and state legislators rose to the challenge by providing new funding sources and programming. However, it is vital to remember that these needs </w:t>
      </w:r>
      <w:r w:rsidR="00C3027E">
        <w:rPr>
          <w:color w:val="000000"/>
        </w:rPr>
        <w:t>will</w:t>
      </w:r>
      <w:r>
        <w:rPr>
          <w:color w:val="000000"/>
        </w:rPr>
        <w:t xml:space="preserve"> not magically disappear as </w:t>
      </w:r>
      <w:r w:rsidRPr="00A8109C">
        <w:rPr>
          <w:color w:val="000000"/>
        </w:rPr>
        <w:t xml:space="preserve">COVID cases decline. As Lederer et al. implore, student services, including disability services, “should be prioritized as a critical investment in student success” even </w:t>
      </w:r>
      <w:r w:rsidRPr="00A8109C">
        <w:rPr>
          <w:color w:val="000000"/>
          <w:shd w:val="clear" w:color="auto" w:fill="FEFEFE"/>
        </w:rPr>
        <w:t>as the inevitable post-COVID budget cuts roll in.</w:t>
      </w:r>
      <w:r w:rsidR="009B15AF" w:rsidRPr="00A8109C">
        <w:rPr>
          <w:rStyle w:val="FootnoteReference"/>
          <w:color w:val="000000"/>
          <w:shd w:val="clear" w:color="auto" w:fill="FEFEFE"/>
        </w:rPr>
        <w:footnoteReference w:id="21"/>
      </w:r>
      <w:r w:rsidR="009B15AF" w:rsidRPr="00A8109C">
        <w:rPr>
          <w:color w:val="000000"/>
          <w:shd w:val="clear" w:color="auto" w:fill="FEFEFE"/>
        </w:rPr>
        <w:t xml:space="preserve"> </w:t>
      </w:r>
      <w:r w:rsidRPr="00A8109C">
        <w:rPr>
          <w:color w:val="000000"/>
          <w:shd w:val="clear" w:color="auto" w:fill="FEFEFE"/>
        </w:rPr>
        <w:t>Additionally, institutions of higher education</w:t>
      </w:r>
      <w:r>
        <w:rPr>
          <w:color w:val="000000"/>
          <w:shd w:val="clear" w:color="auto" w:fill="FEFEFE"/>
        </w:rPr>
        <w:t xml:space="preserve"> should continue advocating at the state and federal level for continued legislation supporting telehealth and technological access to student services and mental health counseling after COVID-era grants end and funding wanes.</w:t>
      </w:r>
      <w:r w:rsidR="003043AA">
        <w:rPr>
          <w:rStyle w:val="FootnoteReference"/>
          <w:color w:val="000000"/>
          <w:shd w:val="clear" w:color="auto" w:fill="FEFEFE"/>
        </w:rPr>
        <w:footnoteReference w:id="22"/>
      </w:r>
      <w:r>
        <w:rPr>
          <w:color w:val="000000"/>
          <w:shd w:val="clear" w:color="auto" w:fill="FEFEFE"/>
        </w:rPr>
        <w:t xml:space="preserve"> Finally, offices of disability services should revisit and revise their procedures for accessing accommodations for students where relevant, as the increased need for accommodations is likely to persist and even grow as COVID-related disabilities continue to affect campus populations.</w:t>
      </w:r>
      <w:r w:rsidR="00020AF5">
        <w:rPr>
          <w:rStyle w:val="FootnoteReference"/>
          <w:color w:val="000000"/>
          <w:shd w:val="clear" w:color="auto" w:fill="FEFEFE"/>
        </w:rPr>
        <w:footnoteReference w:id="23"/>
      </w:r>
    </w:p>
    <w:p w14:paraId="2763CAF6" w14:textId="77777777" w:rsidR="00020AF5" w:rsidRDefault="00020AF5" w:rsidP="00464087">
      <w:pPr>
        <w:pStyle w:val="NormalWeb"/>
        <w:spacing w:before="0" w:beforeAutospacing="0" w:after="0" w:afterAutospacing="0" w:line="360" w:lineRule="auto"/>
        <w:ind w:firstLine="720"/>
      </w:pPr>
    </w:p>
    <w:p w14:paraId="6D0A61B7" w14:textId="77777777" w:rsidR="00F231E8" w:rsidRPr="00E859CD" w:rsidRDefault="00F231E8" w:rsidP="00822E8B">
      <w:pPr>
        <w:pStyle w:val="NormalWeb"/>
        <w:spacing w:before="0" w:beforeAutospacing="0" w:after="0" w:afterAutospacing="0" w:line="360" w:lineRule="auto"/>
        <w:rPr>
          <w:color w:val="000000"/>
          <w:shd w:val="clear" w:color="auto" w:fill="FEFEFE"/>
        </w:rPr>
      </w:pPr>
      <w:r>
        <w:rPr>
          <w:i/>
          <w:iCs/>
          <w:color w:val="000000"/>
        </w:rPr>
        <w:lastRenderedPageBreak/>
        <w:t>Social</w:t>
      </w:r>
    </w:p>
    <w:p w14:paraId="42539899" w14:textId="2B60C4DE" w:rsidR="00F231E8" w:rsidRPr="00E859CD" w:rsidRDefault="00F231E8" w:rsidP="00C33A07">
      <w:pPr>
        <w:pStyle w:val="NormalWeb"/>
        <w:spacing w:before="0" w:beforeAutospacing="0" w:after="0" w:afterAutospacing="0" w:line="360" w:lineRule="auto"/>
        <w:ind w:firstLine="720"/>
        <w:rPr>
          <w:color w:val="000000"/>
          <w:shd w:val="clear" w:color="auto" w:fill="FFFF00"/>
        </w:rPr>
      </w:pPr>
      <w:r w:rsidRPr="00E859CD">
        <w:tab/>
      </w:r>
      <w:r>
        <w:rPr>
          <w:color w:val="000000"/>
          <w:shd w:val="clear" w:color="auto" w:fill="FEFEFE"/>
        </w:rPr>
        <w:t xml:space="preserve">The success of COVID accessibility measures on campuses was in large part the result of increased </w:t>
      </w:r>
      <w:r w:rsidRPr="00E859CD">
        <w:rPr>
          <w:color w:val="000000"/>
          <w:shd w:val="clear" w:color="auto" w:fill="FEFEFE"/>
        </w:rPr>
        <w:t xml:space="preserve">campus partnerships. </w:t>
      </w:r>
      <w:r>
        <w:rPr>
          <w:color w:val="000000"/>
          <w:shd w:val="clear" w:color="auto" w:fill="FEFEFE"/>
        </w:rPr>
        <w:t xml:space="preserve">As we look ahead to a post-pandemic future, campuses must make a commitment to maintaining relationships across departments that emerged as a matter of happenstance </w:t>
      </w:r>
      <w:r w:rsidR="00317067">
        <w:rPr>
          <w:color w:val="000000"/>
          <w:shd w:val="clear" w:color="auto" w:fill="FEFEFE"/>
        </w:rPr>
        <w:t>during the pandemic</w:t>
      </w:r>
      <w:r>
        <w:rPr>
          <w:color w:val="000000"/>
          <w:shd w:val="clear" w:color="auto" w:fill="FEFEFE"/>
        </w:rPr>
        <w:t xml:space="preserve">. Partnerships like those detailed above at Purdue between disability services and other campus departments cannot be forgotten in the “return to normal.” In practice, offices of disability services should continue their outreach to these new partners to offer resources and support for campus initiatives and proactively work to make new initiatives accessible from the start. </w:t>
      </w:r>
      <w:r w:rsidR="007B1732">
        <w:rPr>
          <w:color w:val="000000"/>
          <w:shd w:val="clear" w:color="auto" w:fill="FEFEFE"/>
        </w:rPr>
        <w:t xml:space="preserve">Additionally, other campus departments should welcome new collaboration opportunities with disability service offices to continually improve campus accessibility. </w:t>
      </w:r>
      <w:r>
        <w:rPr>
          <w:color w:val="000000"/>
          <w:shd w:val="clear" w:color="auto" w:fill="FEFEFE"/>
        </w:rPr>
        <w:t>With proper attention and planning, these partnerships could result in campuses that are built to be disability forward rather than relying on retrofits to meet student needs. </w:t>
      </w:r>
    </w:p>
    <w:p w14:paraId="1C120DCF" w14:textId="08D88E86" w:rsidR="00F231E8" w:rsidRDefault="00F231E8" w:rsidP="00822E8B">
      <w:pPr>
        <w:pStyle w:val="NormalWeb"/>
        <w:spacing w:before="0" w:beforeAutospacing="0" w:after="0" w:afterAutospacing="0" w:line="360" w:lineRule="auto"/>
        <w:ind w:firstLine="720"/>
      </w:pPr>
      <w:r>
        <w:rPr>
          <w:color w:val="000000"/>
          <w:shd w:val="clear" w:color="auto" w:fill="FEFEFE"/>
        </w:rPr>
        <w:t xml:space="preserve">In addition to fostering relationships across campus services, </w:t>
      </w:r>
      <w:r w:rsidR="002B00B8">
        <w:rPr>
          <w:color w:val="000000"/>
          <w:shd w:val="clear" w:color="auto" w:fill="FEFEFE"/>
        </w:rPr>
        <w:t>D</w:t>
      </w:r>
      <w:r>
        <w:rPr>
          <w:color w:val="000000"/>
          <w:shd w:val="clear" w:color="auto" w:fill="FEFEFE"/>
        </w:rPr>
        <w:t xml:space="preserve">isability </w:t>
      </w:r>
      <w:r w:rsidR="002B00B8">
        <w:rPr>
          <w:color w:val="000000"/>
          <w:shd w:val="clear" w:color="auto" w:fill="FEFEFE"/>
        </w:rPr>
        <w:t>St</w:t>
      </w:r>
      <w:r>
        <w:rPr>
          <w:color w:val="000000"/>
          <w:shd w:val="clear" w:color="auto" w:fill="FEFEFE"/>
        </w:rPr>
        <w:t>udies</w:t>
      </w:r>
      <w:r w:rsidR="002B00B8">
        <w:rPr>
          <w:color w:val="000000"/>
          <w:shd w:val="clear" w:color="auto" w:fill="FEFEFE"/>
        </w:rPr>
        <w:t xml:space="preserve"> as a field</w:t>
      </w:r>
      <w:r>
        <w:rPr>
          <w:color w:val="000000"/>
          <w:shd w:val="clear" w:color="auto" w:fill="FEFEFE"/>
        </w:rPr>
        <w:t xml:space="preserve"> can and should facilitate more communication between the academic and administrative sides of</w:t>
      </w:r>
      <w:r w:rsidR="002B00B8">
        <w:rPr>
          <w:color w:val="000000"/>
          <w:shd w:val="clear" w:color="auto" w:fill="FEFEFE"/>
        </w:rPr>
        <w:t xml:space="preserve"> our work</w:t>
      </w:r>
      <w:r>
        <w:rPr>
          <w:color w:val="000000"/>
          <w:shd w:val="clear" w:color="auto" w:fill="FEFEFE"/>
        </w:rPr>
        <w:t xml:space="preserve">. The failure of the COVID-access myth is its continued centering of non-disabled voices, and it is essential to reposition the disabled </w:t>
      </w:r>
      <w:proofErr w:type="spellStart"/>
      <w:r>
        <w:rPr>
          <w:color w:val="000000"/>
          <w:shd w:val="clear" w:color="auto" w:fill="FEFEFE"/>
        </w:rPr>
        <w:t>bodymind</w:t>
      </w:r>
      <w:proofErr w:type="spellEnd"/>
      <w:r>
        <w:rPr>
          <w:color w:val="000000"/>
          <w:shd w:val="clear" w:color="auto" w:fill="FEFEFE"/>
        </w:rPr>
        <w:t xml:space="preserve"> experience back into the center of the conversation around access in higher ed as we emerge from the pandemic. The sad reality is that disabled voices are more likely to be found in the academic side of </w:t>
      </w:r>
      <w:r w:rsidR="00A20A58">
        <w:rPr>
          <w:color w:val="000000"/>
          <w:shd w:val="clear" w:color="auto" w:fill="FEFEFE"/>
        </w:rPr>
        <w:t>D</w:t>
      </w:r>
      <w:r>
        <w:rPr>
          <w:color w:val="000000"/>
          <w:shd w:val="clear" w:color="auto" w:fill="FEFEFE"/>
        </w:rPr>
        <w:t xml:space="preserve">isability </w:t>
      </w:r>
      <w:r w:rsidR="00A20A58">
        <w:rPr>
          <w:color w:val="000000"/>
          <w:shd w:val="clear" w:color="auto" w:fill="FEFEFE"/>
        </w:rPr>
        <w:t>S</w:t>
      </w:r>
      <w:r>
        <w:rPr>
          <w:color w:val="000000"/>
          <w:shd w:val="clear" w:color="auto" w:fill="FEFEFE"/>
        </w:rPr>
        <w:t>tudies than in administrative offices. This makes it particularly essential to include academic Disability Studies scholars in administrative decision making and campus partnerships.</w:t>
      </w:r>
    </w:p>
    <w:p w14:paraId="7BA88B13" w14:textId="7E7FC2F1" w:rsidR="00F231E8" w:rsidRDefault="00F231E8" w:rsidP="00822E8B">
      <w:pPr>
        <w:pStyle w:val="NormalWeb"/>
        <w:spacing w:before="0" w:beforeAutospacing="0" w:after="0" w:afterAutospacing="0" w:line="360" w:lineRule="auto"/>
        <w:ind w:firstLine="720"/>
      </w:pPr>
      <w:r>
        <w:rPr>
          <w:color w:val="000000"/>
          <w:shd w:val="clear" w:color="auto" w:fill="FEFEFE"/>
        </w:rPr>
        <w:t xml:space="preserve">That said, it would be just as easy to dismiss the importance of administrative </w:t>
      </w:r>
      <w:r w:rsidR="00357BBE">
        <w:rPr>
          <w:color w:val="000000"/>
          <w:shd w:val="clear" w:color="auto" w:fill="FEFEFE"/>
        </w:rPr>
        <w:t>D</w:t>
      </w:r>
      <w:r>
        <w:rPr>
          <w:color w:val="000000"/>
          <w:shd w:val="clear" w:color="auto" w:fill="FEFEFE"/>
        </w:rPr>
        <w:t xml:space="preserve">isability </w:t>
      </w:r>
      <w:r w:rsidR="00357BBE">
        <w:rPr>
          <w:color w:val="000000"/>
          <w:shd w:val="clear" w:color="auto" w:fill="FEFEFE"/>
        </w:rPr>
        <w:t>S</w:t>
      </w:r>
      <w:r>
        <w:rPr>
          <w:color w:val="000000"/>
          <w:shd w:val="clear" w:color="auto" w:fill="FEFEFE"/>
        </w:rPr>
        <w:t xml:space="preserve">tudies in supporting ongoing disability initiatives post-COVID. It is vital to remember that </w:t>
      </w:r>
      <w:r w:rsidR="0085062D">
        <w:rPr>
          <w:color w:val="000000"/>
          <w:shd w:val="clear" w:color="auto" w:fill="FEFEFE"/>
        </w:rPr>
        <w:t xml:space="preserve">our </w:t>
      </w:r>
      <w:r>
        <w:rPr>
          <w:color w:val="000000"/>
          <w:shd w:val="clear" w:color="auto" w:fill="FEFEFE"/>
        </w:rPr>
        <w:t>field arose out of the disability rights movement which was itself concerned with practical matters of legislation, equity, and accommodation</w:t>
      </w:r>
      <w:r w:rsidR="00933811">
        <w:rPr>
          <w:color w:val="000000"/>
          <w:shd w:val="clear" w:color="auto" w:fill="FEFEFE"/>
        </w:rPr>
        <w:t xml:space="preserve">. In the years since the passage of the ADA, many of the battles of compliance and accommodation </w:t>
      </w:r>
      <w:r w:rsidR="00DE6F71">
        <w:rPr>
          <w:color w:val="000000"/>
          <w:shd w:val="clear" w:color="auto" w:fill="FEFEFE"/>
        </w:rPr>
        <w:t>have been</w:t>
      </w:r>
      <w:r w:rsidR="00933811">
        <w:rPr>
          <w:color w:val="000000"/>
          <w:shd w:val="clear" w:color="auto" w:fill="FEFEFE"/>
        </w:rPr>
        <w:t xml:space="preserve"> fought in disability service offices by administrative </w:t>
      </w:r>
      <w:r w:rsidR="004F0CE7">
        <w:rPr>
          <w:color w:val="000000"/>
          <w:shd w:val="clear" w:color="auto" w:fill="FEFEFE"/>
        </w:rPr>
        <w:t xml:space="preserve">workers. </w:t>
      </w:r>
      <w:r>
        <w:rPr>
          <w:color w:val="000000"/>
          <w:shd w:val="clear" w:color="auto" w:fill="FEFEFE"/>
        </w:rPr>
        <w:t>Administrative disability advocates have valuable insights and contributions to offer to academic conversation around disabled experience in part because of the contact they have with students and faculty in the accommodations process.</w:t>
      </w:r>
    </w:p>
    <w:p w14:paraId="0BEC3FAE" w14:textId="1966ACD1" w:rsidR="00712B37" w:rsidRDefault="00F231E8" w:rsidP="00822E8B">
      <w:pPr>
        <w:pStyle w:val="NormalWeb"/>
        <w:spacing w:before="0" w:beforeAutospacing="0" w:after="0" w:afterAutospacing="0" w:line="360" w:lineRule="auto"/>
        <w:ind w:firstLine="720"/>
        <w:rPr>
          <w:color w:val="000000"/>
          <w:shd w:val="clear" w:color="auto" w:fill="FEFEFE"/>
        </w:rPr>
      </w:pPr>
      <w:r>
        <w:rPr>
          <w:color w:val="000000"/>
          <w:shd w:val="clear" w:color="auto" w:fill="FEFEFE"/>
        </w:rPr>
        <w:t xml:space="preserve"> In many ways, the pandemic is a unique moment for academic and administrative collaboration because it created new situations </w:t>
      </w:r>
      <w:r w:rsidR="007267B8">
        <w:rPr>
          <w:color w:val="000000"/>
          <w:shd w:val="clear" w:color="auto" w:fill="FEFEFE"/>
        </w:rPr>
        <w:t>and</w:t>
      </w:r>
      <w:r>
        <w:rPr>
          <w:color w:val="000000"/>
          <w:shd w:val="clear" w:color="auto" w:fill="FEFEFE"/>
        </w:rPr>
        <w:t xml:space="preserve"> led to new avenues for exploring what access can look like in higher</w:t>
      </w:r>
      <w:r w:rsidR="00FF1A35">
        <w:rPr>
          <w:color w:val="000000"/>
          <w:shd w:val="clear" w:color="auto" w:fill="FEFEFE"/>
        </w:rPr>
        <w:t xml:space="preserve"> </w:t>
      </w:r>
      <w:r>
        <w:rPr>
          <w:color w:val="000000"/>
          <w:shd w:val="clear" w:color="auto" w:fill="FEFEFE"/>
        </w:rPr>
        <w:t xml:space="preserve">ed. Our collaboration on this paper is itself a model of this kind of </w:t>
      </w:r>
      <w:r w:rsidR="0085062D" w:rsidRPr="00023ADE">
        <w:rPr>
          <w:color w:val="000000"/>
          <w:shd w:val="clear" w:color="auto" w:fill="FEFEFE"/>
        </w:rPr>
        <w:lastRenderedPageBreak/>
        <w:t xml:space="preserve">relationship. </w:t>
      </w:r>
      <w:r w:rsidRPr="00023ADE">
        <w:rPr>
          <w:color w:val="000000"/>
          <w:shd w:val="clear" w:color="auto" w:fill="FEFEFE"/>
        </w:rPr>
        <w:t>We, in our partnership, bridge the gap between the academic side of higher</w:t>
      </w:r>
      <w:r w:rsidR="00FF1A35" w:rsidRPr="00023ADE">
        <w:rPr>
          <w:color w:val="000000"/>
          <w:shd w:val="clear" w:color="auto" w:fill="FEFEFE"/>
        </w:rPr>
        <w:t xml:space="preserve"> </w:t>
      </w:r>
      <w:r w:rsidRPr="00023ADE">
        <w:rPr>
          <w:color w:val="000000"/>
          <w:shd w:val="clear" w:color="auto" w:fill="FEFEFE"/>
        </w:rPr>
        <w:t xml:space="preserve">ed and the administrative, and we believe these two sides of </w:t>
      </w:r>
      <w:r w:rsidR="00FF1A35" w:rsidRPr="00023ADE">
        <w:rPr>
          <w:color w:val="000000"/>
          <w:shd w:val="clear" w:color="auto" w:fill="FEFEFE"/>
        </w:rPr>
        <w:t>D</w:t>
      </w:r>
      <w:r w:rsidRPr="00023ADE">
        <w:rPr>
          <w:color w:val="000000"/>
          <w:shd w:val="clear" w:color="auto" w:fill="FEFEFE"/>
        </w:rPr>
        <w:t xml:space="preserve">isability </w:t>
      </w:r>
      <w:r w:rsidR="00FF1A35" w:rsidRPr="00023ADE">
        <w:rPr>
          <w:color w:val="000000"/>
          <w:shd w:val="clear" w:color="auto" w:fill="FEFEFE"/>
        </w:rPr>
        <w:t>S</w:t>
      </w:r>
      <w:r w:rsidRPr="00023ADE">
        <w:rPr>
          <w:color w:val="000000"/>
          <w:shd w:val="clear" w:color="auto" w:fill="FEFEFE"/>
        </w:rPr>
        <w:t>tudies must also join forces to maximize the COVID moment for the sake of access.</w:t>
      </w:r>
      <w:r w:rsidR="00F778BD">
        <w:rPr>
          <w:color w:val="000000"/>
          <w:shd w:val="clear" w:color="auto" w:fill="FEFEFE"/>
        </w:rPr>
        <w:t xml:space="preserve"> </w:t>
      </w:r>
    </w:p>
    <w:p w14:paraId="13007F4E" w14:textId="77777777" w:rsidR="00712B37" w:rsidRDefault="00712B37" w:rsidP="00822E8B">
      <w:pPr>
        <w:spacing w:after="0"/>
        <w:rPr>
          <w:rFonts w:ascii="Times New Roman" w:eastAsia="Times New Roman" w:hAnsi="Times New Roman" w:cs="Times New Roman"/>
          <w:color w:val="000000"/>
          <w:sz w:val="24"/>
          <w:szCs w:val="24"/>
          <w:shd w:val="clear" w:color="auto" w:fill="FEFEFE"/>
        </w:rPr>
      </w:pPr>
      <w:r>
        <w:rPr>
          <w:color w:val="000000"/>
          <w:shd w:val="clear" w:color="auto" w:fill="FEFEFE"/>
        </w:rPr>
        <w:br w:type="page"/>
      </w:r>
    </w:p>
    <w:p w14:paraId="3F3618EA" w14:textId="31084D85" w:rsidR="00F231E8" w:rsidRPr="00EE2613" w:rsidRDefault="00747FE8" w:rsidP="0055206E">
      <w:pPr>
        <w:pStyle w:val="NormalWeb"/>
        <w:spacing w:before="0" w:beforeAutospacing="0" w:after="0" w:afterAutospacing="0"/>
        <w:jc w:val="center"/>
      </w:pPr>
      <w:r w:rsidRPr="00EE2613">
        <w:lastRenderedPageBreak/>
        <w:t>Bibliography</w:t>
      </w:r>
    </w:p>
    <w:p w14:paraId="2692B41F" w14:textId="764BD1AA" w:rsidR="006B44CA" w:rsidRDefault="006B44CA" w:rsidP="00822E8B">
      <w:pPr>
        <w:pStyle w:val="NormalWeb"/>
        <w:spacing w:before="0" w:beforeAutospacing="0" w:after="0" w:afterAutospacing="0"/>
        <w:ind w:firstLine="720"/>
        <w:jc w:val="center"/>
      </w:pPr>
    </w:p>
    <w:p w14:paraId="55B75E7E" w14:textId="40608C86" w:rsidR="00EE2613" w:rsidRDefault="00EE2613" w:rsidP="00822E8B">
      <w:pPr>
        <w:pStyle w:val="NormalWeb"/>
        <w:spacing w:before="0" w:beforeAutospacing="0" w:after="0" w:afterAutospacing="0"/>
        <w:ind w:firstLine="720"/>
        <w:jc w:val="center"/>
      </w:pPr>
    </w:p>
    <w:p w14:paraId="606C8847" w14:textId="321470C9" w:rsidR="00962C46" w:rsidRPr="007C6FA8" w:rsidRDefault="00962C46" w:rsidP="007A63DF">
      <w:pPr>
        <w:spacing w:after="0" w:line="240" w:lineRule="auto"/>
        <w:ind w:left="720" w:hanging="720"/>
        <w:rPr>
          <w:rFonts w:ascii="Times New Roman" w:hAnsi="Times New Roman" w:cs="Times New Roman"/>
          <w:sz w:val="24"/>
          <w:szCs w:val="24"/>
        </w:rPr>
      </w:pPr>
      <w:r>
        <w:rPr>
          <w:rFonts w:ascii="Times New Roman" w:hAnsi="Times New Roman" w:cs="Times New Roman"/>
          <w:sz w:val="24"/>
          <w:szCs w:val="24"/>
        </w:rPr>
        <w:t>Accessible Campus Alliance</w:t>
      </w:r>
      <w:r w:rsidR="000D3741">
        <w:rPr>
          <w:rFonts w:ascii="Times New Roman" w:hAnsi="Times New Roman" w:cs="Times New Roman"/>
          <w:sz w:val="24"/>
          <w:szCs w:val="24"/>
        </w:rPr>
        <w:t xml:space="preserve">. </w:t>
      </w:r>
      <w:r w:rsidR="00846D95">
        <w:rPr>
          <w:rFonts w:ascii="Times New Roman" w:hAnsi="Times New Roman" w:cs="Times New Roman"/>
          <w:sz w:val="24"/>
          <w:szCs w:val="24"/>
        </w:rPr>
        <w:t>“</w:t>
      </w:r>
      <w:r w:rsidR="007C6FA8" w:rsidRPr="00846D95">
        <w:rPr>
          <w:rFonts w:ascii="Times New Roman" w:hAnsi="Times New Roman" w:cs="Times New Roman"/>
          <w:sz w:val="24"/>
          <w:szCs w:val="24"/>
        </w:rPr>
        <w:t>Beyond ‘High-Risk’: Update for 2021</w:t>
      </w:r>
      <w:r w:rsidR="00344332">
        <w:rPr>
          <w:rFonts w:ascii="Times New Roman" w:hAnsi="Times New Roman" w:cs="Times New Roman"/>
          <w:sz w:val="24"/>
          <w:szCs w:val="24"/>
        </w:rPr>
        <w:t xml:space="preserve">.” </w:t>
      </w:r>
      <w:r w:rsidR="00A67E08">
        <w:rPr>
          <w:rFonts w:ascii="Times New Roman" w:hAnsi="Times New Roman" w:cs="Times New Roman"/>
          <w:sz w:val="24"/>
          <w:szCs w:val="24"/>
        </w:rPr>
        <w:t xml:space="preserve"> Last modified August 25, 2021</w:t>
      </w:r>
      <w:r w:rsidR="00555D4B">
        <w:rPr>
          <w:rFonts w:ascii="Times New Roman" w:hAnsi="Times New Roman" w:cs="Times New Roman"/>
          <w:sz w:val="24"/>
          <w:szCs w:val="24"/>
        </w:rPr>
        <w:t>,</w:t>
      </w:r>
      <w:r w:rsidR="00A67E08">
        <w:rPr>
          <w:rFonts w:ascii="Times New Roman" w:hAnsi="Times New Roman" w:cs="Times New Roman"/>
          <w:sz w:val="24"/>
          <w:szCs w:val="24"/>
        </w:rPr>
        <w:t xml:space="preserve"> </w:t>
      </w:r>
      <w:hyperlink r:id="rId8" w:history="1">
        <w:r w:rsidR="00EE492C" w:rsidRPr="00EE492C">
          <w:rPr>
            <w:rFonts w:ascii="Times New Roman" w:hAnsi="Times New Roman" w:cs="Times New Roman"/>
            <w:sz w:val="24"/>
            <w:szCs w:val="24"/>
          </w:rPr>
          <w:t>https://bit.ly/accesscampusalliance</w:t>
        </w:r>
      </w:hyperlink>
      <w:r w:rsidR="00EE492C" w:rsidRPr="00EE492C">
        <w:rPr>
          <w:rFonts w:ascii="Times New Roman" w:hAnsi="Times New Roman" w:cs="Times New Roman"/>
          <w:sz w:val="24"/>
          <w:szCs w:val="24"/>
        </w:rPr>
        <w:t>.</w:t>
      </w:r>
    </w:p>
    <w:p w14:paraId="5F7C0AFD" w14:textId="77777777" w:rsidR="000D3741" w:rsidRDefault="000D3741" w:rsidP="007A63DF">
      <w:pPr>
        <w:spacing w:after="0" w:line="240" w:lineRule="auto"/>
        <w:ind w:left="720" w:hanging="720"/>
        <w:rPr>
          <w:rFonts w:ascii="Times New Roman" w:hAnsi="Times New Roman" w:cs="Times New Roman"/>
          <w:sz w:val="24"/>
          <w:szCs w:val="24"/>
        </w:rPr>
      </w:pPr>
    </w:p>
    <w:p w14:paraId="2ABB1DDC" w14:textId="4038DC69" w:rsidR="007A63DF" w:rsidRPr="004375E7" w:rsidRDefault="007A63DF" w:rsidP="007A63DF">
      <w:pPr>
        <w:spacing w:after="0" w:line="240" w:lineRule="auto"/>
        <w:ind w:left="720" w:hanging="720"/>
        <w:rPr>
          <w:rFonts w:ascii="Times New Roman" w:hAnsi="Times New Roman" w:cs="Times New Roman"/>
          <w:sz w:val="24"/>
          <w:szCs w:val="24"/>
        </w:rPr>
      </w:pPr>
      <w:proofErr w:type="spellStart"/>
      <w:r w:rsidRPr="00EE2613">
        <w:rPr>
          <w:rFonts w:ascii="Times New Roman" w:hAnsi="Times New Roman" w:cs="Times New Roman"/>
          <w:sz w:val="24"/>
          <w:szCs w:val="24"/>
        </w:rPr>
        <w:t>Aydos</w:t>
      </w:r>
      <w:proofErr w:type="spellEnd"/>
      <w:r w:rsidRPr="00EE2613">
        <w:rPr>
          <w:rFonts w:ascii="Times New Roman" w:hAnsi="Times New Roman" w:cs="Times New Roman"/>
          <w:sz w:val="24"/>
          <w:szCs w:val="24"/>
        </w:rPr>
        <w:t>,</w:t>
      </w:r>
      <w:r>
        <w:rPr>
          <w:rFonts w:ascii="Times New Roman" w:hAnsi="Times New Roman" w:cs="Times New Roman"/>
          <w:sz w:val="24"/>
          <w:szCs w:val="24"/>
        </w:rPr>
        <w:t xml:space="preserve"> Valéria, Daniela</w:t>
      </w:r>
      <w:r w:rsidRPr="00EE2613">
        <w:rPr>
          <w:rFonts w:ascii="Times New Roman" w:hAnsi="Times New Roman" w:cs="Times New Roman"/>
          <w:sz w:val="24"/>
          <w:szCs w:val="24"/>
        </w:rPr>
        <w:t xml:space="preserve"> </w:t>
      </w:r>
      <w:proofErr w:type="spellStart"/>
      <w:r w:rsidRPr="00EE2613">
        <w:rPr>
          <w:rFonts w:ascii="Times New Roman" w:hAnsi="Times New Roman" w:cs="Times New Roman"/>
          <w:sz w:val="24"/>
          <w:szCs w:val="24"/>
        </w:rPr>
        <w:t>Navarini</w:t>
      </w:r>
      <w:proofErr w:type="spellEnd"/>
      <w:r w:rsidRPr="00EE2613">
        <w:rPr>
          <w:rFonts w:ascii="Times New Roman" w:hAnsi="Times New Roman" w:cs="Times New Roman"/>
          <w:sz w:val="24"/>
          <w:szCs w:val="24"/>
        </w:rPr>
        <w:t>,</w:t>
      </w:r>
      <w:r>
        <w:rPr>
          <w:rFonts w:ascii="Times New Roman" w:hAnsi="Times New Roman" w:cs="Times New Roman"/>
          <w:sz w:val="24"/>
          <w:szCs w:val="24"/>
        </w:rPr>
        <w:t xml:space="preserve"> and Bernardo</w:t>
      </w:r>
      <w:r w:rsidRPr="00EE2613">
        <w:rPr>
          <w:rFonts w:ascii="Times New Roman" w:hAnsi="Times New Roman" w:cs="Times New Roman"/>
          <w:sz w:val="24"/>
          <w:szCs w:val="24"/>
        </w:rPr>
        <w:t xml:space="preserve"> Oliveria.</w:t>
      </w:r>
      <w:r>
        <w:rPr>
          <w:rFonts w:ascii="Times New Roman" w:hAnsi="Times New Roman" w:cs="Times New Roman"/>
          <w:sz w:val="24"/>
          <w:szCs w:val="24"/>
        </w:rPr>
        <w:t xml:space="preserve"> “</w:t>
      </w:r>
      <w:r w:rsidRPr="00AC6763">
        <w:rPr>
          <w:rFonts w:ascii="Times New Roman" w:hAnsi="Times New Roman" w:cs="Times New Roman"/>
          <w:sz w:val="24"/>
          <w:szCs w:val="24"/>
        </w:rPr>
        <w:t xml:space="preserve">The </w:t>
      </w:r>
      <w:r>
        <w:rPr>
          <w:rFonts w:ascii="Times New Roman" w:hAnsi="Times New Roman" w:cs="Times New Roman"/>
          <w:sz w:val="24"/>
          <w:szCs w:val="24"/>
        </w:rPr>
        <w:t>P</w:t>
      </w:r>
      <w:r w:rsidRPr="00AC6763">
        <w:rPr>
          <w:rFonts w:ascii="Times New Roman" w:hAnsi="Times New Roman" w:cs="Times New Roman"/>
          <w:sz w:val="24"/>
          <w:szCs w:val="24"/>
        </w:rPr>
        <w:t xml:space="preserve">aradox of </w:t>
      </w:r>
      <w:r>
        <w:rPr>
          <w:rFonts w:ascii="Times New Roman" w:hAnsi="Times New Roman" w:cs="Times New Roman"/>
          <w:sz w:val="24"/>
          <w:szCs w:val="24"/>
        </w:rPr>
        <w:t>‘R</w:t>
      </w:r>
      <w:r w:rsidRPr="00AC6763">
        <w:rPr>
          <w:rFonts w:ascii="Times New Roman" w:hAnsi="Times New Roman" w:cs="Times New Roman"/>
          <w:sz w:val="24"/>
          <w:szCs w:val="24"/>
        </w:rPr>
        <w:t xml:space="preserve">emote </w:t>
      </w:r>
      <w:r>
        <w:rPr>
          <w:rFonts w:ascii="Times New Roman" w:hAnsi="Times New Roman" w:cs="Times New Roman"/>
          <w:sz w:val="24"/>
          <w:szCs w:val="24"/>
        </w:rPr>
        <w:t>W</w:t>
      </w:r>
      <w:r w:rsidRPr="00AC6763">
        <w:rPr>
          <w:rFonts w:ascii="Times New Roman" w:hAnsi="Times New Roman" w:cs="Times New Roman"/>
          <w:sz w:val="24"/>
          <w:szCs w:val="24"/>
        </w:rPr>
        <w:t>orking</w:t>
      </w:r>
      <w:r>
        <w:rPr>
          <w:rFonts w:ascii="Times New Roman" w:hAnsi="Times New Roman" w:cs="Times New Roman"/>
          <w:sz w:val="24"/>
          <w:szCs w:val="24"/>
        </w:rPr>
        <w:t>’</w:t>
      </w:r>
      <w:r w:rsidRPr="00AC6763">
        <w:rPr>
          <w:rFonts w:ascii="Times New Roman" w:hAnsi="Times New Roman" w:cs="Times New Roman"/>
          <w:sz w:val="24"/>
          <w:szCs w:val="24"/>
        </w:rPr>
        <w:t xml:space="preserve"> in Covid-19 </w:t>
      </w:r>
      <w:r>
        <w:rPr>
          <w:rFonts w:ascii="Times New Roman" w:hAnsi="Times New Roman" w:cs="Times New Roman"/>
          <w:sz w:val="24"/>
          <w:szCs w:val="24"/>
        </w:rPr>
        <w:t>P</w:t>
      </w:r>
      <w:r w:rsidRPr="00AC6763">
        <w:rPr>
          <w:rFonts w:ascii="Times New Roman" w:hAnsi="Times New Roman" w:cs="Times New Roman"/>
          <w:sz w:val="24"/>
          <w:szCs w:val="24"/>
        </w:rPr>
        <w:t xml:space="preserve">andemic </w:t>
      </w:r>
      <w:r>
        <w:rPr>
          <w:rFonts w:ascii="Times New Roman" w:hAnsi="Times New Roman" w:cs="Times New Roman"/>
          <w:sz w:val="24"/>
          <w:szCs w:val="24"/>
        </w:rPr>
        <w:t>T</w:t>
      </w:r>
      <w:r w:rsidRPr="00AC6763">
        <w:rPr>
          <w:rFonts w:ascii="Times New Roman" w:hAnsi="Times New Roman" w:cs="Times New Roman"/>
          <w:sz w:val="24"/>
          <w:szCs w:val="24"/>
        </w:rPr>
        <w:t xml:space="preserve">imes: </w:t>
      </w:r>
      <w:r>
        <w:rPr>
          <w:rFonts w:ascii="Times New Roman" w:hAnsi="Times New Roman" w:cs="Times New Roman"/>
          <w:sz w:val="24"/>
          <w:szCs w:val="24"/>
        </w:rPr>
        <w:t>D</w:t>
      </w:r>
      <w:r w:rsidRPr="00AC6763">
        <w:rPr>
          <w:rFonts w:ascii="Times New Roman" w:hAnsi="Times New Roman" w:cs="Times New Roman"/>
          <w:sz w:val="24"/>
          <w:szCs w:val="24"/>
        </w:rPr>
        <w:t xml:space="preserve">isability, </w:t>
      </w:r>
      <w:r>
        <w:rPr>
          <w:rFonts w:ascii="Times New Roman" w:hAnsi="Times New Roman" w:cs="Times New Roman"/>
          <w:sz w:val="24"/>
          <w:szCs w:val="24"/>
        </w:rPr>
        <w:t>I</w:t>
      </w:r>
      <w:r w:rsidRPr="00AC6763">
        <w:rPr>
          <w:rFonts w:ascii="Times New Roman" w:hAnsi="Times New Roman" w:cs="Times New Roman"/>
          <w:sz w:val="24"/>
          <w:szCs w:val="24"/>
        </w:rPr>
        <w:t xml:space="preserve">nclusion, and </w:t>
      </w:r>
      <w:r>
        <w:rPr>
          <w:rFonts w:ascii="Times New Roman" w:hAnsi="Times New Roman" w:cs="Times New Roman"/>
          <w:sz w:val="24"/>
          <w:szCs w:val="24"/>
        </w:rPr>
        <w:t>A</w:t>
      </w:r>
      <w:r w:rsidRPr="00AC6763">
        <w:rPr>
          <w:rFonts w:ascii="Times New Roman" w:hAnsi="Times New Roman" w:cs="Times New Roman"/>
          <w:sz w:val="24"/>
          <w:szCs w:val="24"/>
        </w:rPr>
        <w:t>ccessibility in Brazil</w:t>
      </w:r>
      <w:r>
        <w:rPr>
          <w:rFonts w:ascii="Times New Roman" w:hAnsi="Times New Roman" w:cs="Times New Roman"/>
          <w:sz w:val="24"/>
          <w:szCs w:val="24"/>
        </w:rPr>
        <w:t xml:space="preserve">.” </w:t>
      </w:r>
      <w:r>
        <w:rPr>
          <w:rFonts w:ascii="Times New Roman" w:hAnsi="Times New Roman" w:cs="Times New Roman"/>
          <w:i/>
          <w:iCs/>
          <w:sz w:val="24"/>
          <w:szCs w:val="24"/>
        </w:rPr>
        <w:t>Disability Studies Quarterly</w:t>
      </w:r>
      <w:r>
        <w:rPr>
          <w:rFonts w:ascii="Times New Roman" w:hAnsi="Times New Roman" w:cs="Times New Roman"/>
          <w:sz w:val="24"/>
          <w:szCs w:val="24"/>
        </w:rPr>
        <w:t xml:space="preserve"> 41, no. 3 (2021). Accessed February 25, 2022. </w:t>
      </w:r>
      <w:r w:rsidRPr="004375E7">
        <w:rPr>
          <w:rFonts w:ascii="Times New Roman" w:hAnsi="Times New Roman" w:cs="Times New Roman"/>
          <w:sz w:val="24"/>
          <w:szCs w:val="24"/>
        </w:rPr>
        <w:t>https://dsq-sds.org/article/view/8359/6188</w:t>
      </w:r>
      <w:r>
        <w:rPr>
          <w:rFonts w:ascii="Times New Roman" w:hAnsi="Times New Roman" w:cs="Times New Roman"/>
          <w:sz w:val="24"/>
          <w:szCs w:val="24"/>
        </w:rPr>
        <w:t>.</w:t>
      </w:r>
    </w:p>
    <w:p w14:paraId="1836C9E8" w14:textId="77777777" w:rsidR="007A63DF" w:rsidRDefault="007A63DF" w:rsidP="00822E8B">
      <w:pPr>
        <w:spacing w:after="0" w:line="240" w:lineRule="auto"/>
        <w:rPr>
          <w:rFonts w:ascii="Times New Roman" w:hAnsi="Times New Roman" w:cs="Times New Roman"/>
          <w:sz w:val="24"/>
          <w:szCs w:val="24"/>
        </w:rPr>
      </w:pPr>
    </w:p>
    <w:p w14:paraId="64193F30" w14:textId="70733DE0" w:rsidR="00716B9B" w:rsidRPr="004375E7" w:rsidRDefault="00997019" w:rsidP="00997019">
      <w:pPr>
        <w:spacing w:after="0" w:line="240" w:lineRule="auto"/>
        <w:ind w:left="720" w:hanging="720"/>
        <w:rPr>
          <w:rFonts w:ascii="Times New Roman" w:hAnsi="Times New Roman" w:cs="Times New Roman"/>
          <w:sz w:val="24"/>
          <w:szCs w:val="24"/>
        </w:rPr>
      </w:pPr>
      <w:r>
        <w:rPr>
          <w:rFonts w:ascii="Times New Roman" w:hAnsi="Times New Roman" w:cs="Times New Roman"/>
          <w:sz w:val="24"/>
          <w:szCs w:val="24"/>
        </w:rPr>
        <w:t xml:space="preserve">Block, Pamela, </w:t>
      </w:r>
      <w:proofErr w:type="spellStart"/>
      <w:r>
        <w:rPr>
          <w:rFonts w:ascii="Times New Roman" w:hAnsi="Times New Roman" w:cs="Times New Roman"/>
          <w:sz w:val="24"/>
          <w:szCs w:val="24"/>
        </w:rPr>
        <w:t>Éverton</w:t>
      </w:r>
      <w:proofErr w:type="spellEnd"/>
      <w:r>
        <w:rPr>
          <w:rFonts w:ascii="Times New Roman" w:hAnsi="Times New Roman" w:cs="Times New Roman"/>
          <w:sz w:val="24"/>
          <w:szCs w:val="24"/>
        </w:rPr>
        <w:t xml:space="preserve"> Luis Periera, Anahí</w:t>
      </w:r>
      <w:r w:rsidR="00AA4727">
        <w:rPr>
          <w:rFonts w:ascii="Times New Roman" w:hAnsi="Times New Roman" w:cs="Times New Roman"/>
          <w:sz w:val="24"/>
          <w:szCs w:val="24"/>
        </w:rPr>
        <w:t xml:space="preserve"> </w:t>
      </w:r>
      <w:r>
        <w:rPr>
          <w:rFonts w:ascii="Times New Roman" w:hAnsi="Times New Roman" w:cs="Times New Roman"/>
          <w:sz w:val="24"/>
          <w:szCs w:val="24"/>
        </w:rPr>
        <w:t xml:space="preserve">Guedes de Mello, and </w:t>
      </w:r>
      <w:proofErr w:type="spellStart"/>
      <w:r>
        <w:rPr>
          <w:rFonts w:ascii="Times New Roman" w:hAnsi="Times New Roman" w:cs="Times New Roman"/>
          <w:sz w:val="24"/>
          <w:szCs w:val="24"/>
        </w:rPr>
        <w:t>Dikaios</w:t>
      </w:r>
      <w:proofErr w:type="spellEnd"/>
      <w:r>
        <w:rPr>
          <w:rFonts w:ascii="Times New Roman" w:hAnsi="Times New Roman" w:cs="Times New Roman"/>
          <w:sz w:val="24"/>
          <w:szCs w:val="24"/>
        </w:rPr>
        <w:t xml:space="preserve"> Sakellariou</w:t>
      </w:r>
      <w:r w:rsidR="00716B9B" w:rsidRPr="00EE2613">
        <w:rPr>
          <w:rFonts w:ascii="Times New Roman" w:hAnsi="Times New Roman" w:cs="Times New Roman"/>
          <w:sz w:val="24"/>
          <w:szCs w:val="24"/>
        </w:rPr>
        <w:t>.</w:t>
      </w:r>
      <w:r w:rsidR="00716B9B">
        <w:rPr>
          <w:rFonts w:ascii="Times New Roman" w:hAnsi="Times New Roman" w:cs="Times New Roman"/>
          <w:sz w:val="24"/>
          <w:szCs w:val="24"/>
        </w:rPr>
        <w:t xml:space="preserve"> “</w:t>
      </w:r>
      <w:r w:rsidRPr="00997019">
        <w:rPr>
          <w:rFonts w:ascii="Times New Roman" w:hAnsi="Times New Roman" w:cs="Times New Roman"/>
          <w:sz w:val="24"/>
          <w:szCs w:val="24"/>
        </w:rPr>
        <w:t>Introduction to the Special Issue: Disability and Covid-19</w:t>
      </w:r>
      <w:r w:rsidR="00716B9B">
        <w:rPr>
          <w:rFonts w:ascii="Times New Roman" w:hAnsi="Times New Roman" w:cs="Times New Roman"/>
          <w:sz w:val="24"/>
          <w:szCs w:val="24"/>
        </w:rPr>
        <w:t xml:space="preserve">.” </w:t>
      </w:r>
      <w:r w:rsidR="00716B9B">
        <w:rPr>
          <w:rFonts w:ascii="Times New Roman" w:hAnsi="Times New Roman" w:cs="Times New Roman"/>
          <w:i/>
          <w:iCs/>
          <w:sz w:val="24"/>
          <w:szCs w:val="24"/>
        </w:rPr>
        <w:t>Disability Studies Quarterly</w:t>
      </w:r>
      <w:r w:rsidR="00716B9B">
        <w:rPr>
          <w:rFonts w:ascii="Times New Roman" w:hAnsi="Times New Roman" w:cs="Times New Roman"/>
          <w:sz w:val="24"/>
          <w:szCs w:val="24"/>
        </w:rPr>
        <w:t xml:space="preserve"> 41, no. 3 (2021). Accessed February 25, 2022. </w:t>
      </w:r>
      <w:r w:rsidRPr="00997019">
        <w:rPr>
          <w:rFonts w:ascii="Times New Roman" w:hAnsi="Times New Roman" w:cs="Times New Roman"/>
          <w:sz w:val="24"/>
          <w:szCs w:val="24"/>
        </w:rPr>
        <w:t>https://dsq-sds.org/article/view/8440/6204</w:t>
      </w:r>
      <w:r w:rsidR="00716B9B">
        <w:rPr>
          <w:rFonts w:ascii="Times New Roman" w:hAnsi="Times New Roman" w:cs="Times New Roman"/>
          <w:sz w:val="24"/>
          <w:szCs w:val="24"/>
        </w:rPr>
        <w:t>.</w:t>
      </w:r>
    </w:p>
    <w:p w14:paraId="369C2C44" w14:textId="2B42DB10" w:rsidR="00E307CE" w:rsidRDefault="00E307CE" w:rsidP="00822E8B">
      <w:pPr>
        <w:spacing w:after="0" w:line="240" w:lineRule="auto"/>
        <w:rPr>
          <w:rFonts w:ascii="Times New Roman" w:hAnsi="Times New Roman" w:cs="Times New Roman"/>
          <w:sz w:val="24"/>
          <w:szCs w:val="24"/>
        </w:rPr>
      </w:pPr>
    </w:p>
    <w:p w14:paraId="6E625E87" w14:textId="7415FD48" w:rsidR="00A5452A" w:rsidRPr="00500944" w:rsidRDefault="00A5452A" w:rsidP="006B388D">
      <w:pPr>
        <w:spacing w:after="0" w:line="240" w:lineRule="auto"/>
        <w:ind w:left="720" w:hanging="720"/>
        <w:rPr>
          <w:rFonts w:ascii="Times New Roman" w:hAnsi="Times New Roman" w:cs="Times New Roman"/>
          <w:sz w:val="24"/>
          <w:szCs w:val="24"/>
        </w:rPr>
      </w:pPr>
      <w:r>
        <w:rPr>
          <w:rFonts w:ascii="Times New Roman" w:hAnsi="Times New Roman" w:cs="Times New Roman"/>
          <w:sz w:val="24"/>
          <w:szCs w:val="24"/>
        </w:rPr>
        <w:t>Decker, Stacey. “</w:t>
      </w:r>
      <w:r w:rsidR="00500944" w:rsidRPr="00500944">
        <w:rPr>
          <w:rFonts w:ascii="Times New Roman" w:hAnsi="Times New Roman" w:cs="Times New Roman"/>
          <w:sz w:val="24"/>
          <w:szCs w:val="24"/>
        </w:rPr>
        <w:t>Which States Ban Mask Mandates in Schools, and Which Require Masks?</w:t>
      </w:r>
      <w:r w:rsidR="00500944">
        <w:rPr>
          <w:rFonts w:ascii="Times New Roman" w:hAnsi="Times New Roman" w:cs="Times New Roman"/>
          <w:sz w:val="24"/>
          <w:szCs w:val="24"/>
        </w:rPr>
        <w:t xml:space="preserve">” </w:t>
      </w:r>
      <w:r w:rsidR="00500944">
        <w:rPr>
          <w:rFonts w:ascii="Times New Roman" w:hAnsi="Times New Roman" w:cs="Times New Roman"/>
          <w:i/>
          <w:iCs/>
          <w:sz w:val="24"/>
          <w:szCs w:val="24"/>
        </w:rPr>
        <w:t>Education Week</w:t>
      </w:r>
      <w:r w:rsidR="00500944">
        <w:rPr>
          <w:rFonts w:ascii="Times New Roman" w:hAnsi="Times New Roman" w:cs="Times New Roman"/>
          <w:sz w:val="24"/>
          <w:szCs w:val="24"/>
        </w:rPr>
        <w:t xml:space="preserve">, Last modified February 25, 2022, </w:t>
      </w:r>
      <w:r w:rsidR="00500944" w:rsidRPr="00500944">
        <w:rPr>
          <w:rFonts w:ascii="Times New Roman" w:hAnsi="Times New Roman" w:cs="Times New Roman"/>
          <w:sz w:val="24"/>
          <w:szCs w:val="24"/>
        </w:rPr>
        <w:t>https://www.edweek.org/policy-politics/which-states-ban-mask-mandates-in-schools-and-which-require-masks/2021/08</w:t>
      </w:r>
      <w:r w:rsidR="00500944">
        <w:rPr>
          <w:rFonts w:ascii="Times New Roman" w:hAnsi="Times New Roman" w:cs="Times New Roman"/>
          <w:sz w:val="24"/>
          <w:szCs w:val="24"/>
        </w:rPr>
        <w:t xml:space="preserve"> </w:t>
      </w:r>
    </w:p>
    <w:p w14:paraId="4DCF4AC6" w14:textId="77777777" w:rsidR="00A5452A" w:rsidRDefault="00A5452A" w:rsidP="006B388D">
      <w:pPr>
        <w:spacing w:after="0" w:line="240" w:lineRule="auto"/>
        <w:ind w:left="720" w:hanging="720"/>
        <w:rPr>
          <w:rFonts w:ascii="Times New Roman" w:hAnsi="Times New Roman" w:cs="Times New Roman"/>
          <w:sz w:val="24"/>
          <w:szCs w:val="24"/>
        </w:rPr>
      </w:pPr>
    </w:p>
    <w:p w14:paraId="35B77525" w14:textId="40A62665" w:rsidR="00822E8B" w:rsidRDefault="006B388D" w:rsidP="004C6656">
      <w:pPr>
        <w:spacing w:after="0" w:line="240" w:lineRule="auto"/>
        <w:ind w:left="720" w:hanging="720"/>
        <w:rPr>
          <w:rFonts w:ascii="Times New Roman" w:hAnsi="Times New Roman" w:cs="Times New Roman"/>
          <w:sz w:val="24"/>
          <w:szCs w:val="24"/>
        </w:rPr>
      </w:pPr>
      <w:r>
        <w:rPr>
          <w:rFonts w:ascii="Times New Roman" w:hAnsi="Times New Roman" w:cs="Times New Roman"/>
          <w:sz w:val="24"/>
          <w:szCs w:val="24"/>
        </w:rPr>
        <w:t>Department of Labor. “Accommodations. Office of Disability Employment Policy.</w:t>
      </w:r>
      <w:r w:rsidR="0062172E">
        <w:rPr>
          <w:rFonts w:ascii="Times New Roman" w:hAnsi="Times New Roman" w:cs="Times New Roman"/>
          <w:sz w:val="24"/>
          <w:szCs w:val="24"/>
        </w:rPr>
        <w:t xml:space="preserve"> n.d.</w:t>
      </w:r>
      <w:r>
        <w:rPr>
          <w:rFonts w:ascii="Times New Roman" w:hAnsi="Times New Roman" w:cs="Times New Roman"/>
          <w:sz w:val="24"/>
          <w:szCs w:val="24"/>
        </w:rPr>
        <w:t xml:space="preserve"> Accessed 25 February 2022, </w:t>
      </w:r>
      <w:r w:rsidRPr="006B388D">
        <w:rPr>
          <w:rFonts w:ascii="Times New Roman" w:hAnsi="Times New Roman" w:cs="Times New Roman"/>
          <w:sz w:val="24"/>
          <w:szCs w:val="24"/>
        </w:rPr>
        <w:t>https://www.dol.gov/agencies/odep/program-areas/employers/accommodations#:~:text=Under%20Title%20I%20of%20the,done%20during%20the%20hiring%20process.</w:t>
      </w:r>
    </w:p>
    <w:p w14:paraId="5ACD5B5B" w14:textId="77777777" w:rsidR="00822E8B" w:rsidRDefault="00822E8B" w:rsidP="00822E8B">
      <w:pPr>
        <w:spacing w:after="0" w:line="240" w:lineRule="auto"/>
        <w:rPr>
          <w:rFonts w:ascii="Times New Roman" w:hAnsi="Times New Roman" w:cs="Times New Roman"/>
          <w:sz w:val="24"/>
          <w:szCs w:val="24"/>
        </w:rPr>
      </w:pPr>
    </w:p>
    <w:p w14:paraId="65E9D9CB" w14:textId="0A0F0EA9" w:rsidR="00F57A8F" w:rsidRPr="00F57A8F" w:rsidRDefault="00F57A8F" w:rsidP="00083D91">
      <w:pPr>
        <w:spacing w:after="0" w:line="240" w:lineRule="auto"/>
        <w:ind w:left="720" w:hanging="720"/>
        <w:rPr>
          <w:rFonts w:ascii="Times New Roman" w:hAnsi="Times New Roman" w:cs="Times New Roman"/>
          <w:sz w:val="24"/>
          <w:szCs w:val="24"/>
        </w:rPr>
      </w:pPr>
      <w:r>
        <w:rPr>
          <w:rFonts w:ascii="Times New Roman" w:hAnsi="Times New Roman" w:cs="Times New Roman"/>
          <w:sz w:val="24"/>
          <w:szCs w:val="24"/>
        </w:rPr>
        <w:t xml:space="preserve">Disability Resource Center, “Annual Report 2020-2021,” Purdue University, </w:t>
      </w:r>
      <w:r w:rsidR="00B227E8">
        <w:rPr>
          <w:rFonts w:ascii="Times New Roman" w:hAnsi="Times New Roman" w:cs="Times New Roman"/>
          <w:sz w:val="24"/>
          <w:szCs w:val="24"/>
        </w:rPr>
        <w:t xml:space="preserve">n.d., Accessed February 25, 2022, </w:t>
      </w:r>
      <w:r w:rsidR="002549B4" w:rsidRPr="002549B4">
        <w:rPr>
          <w:rFonts w:ascii="Times New Roman" w:hAnsi="Times New Roman" w:cs="Times New Roman"/>
          <w:sz w:val="24"/>
          <w:szCs w:val="24"/>
        </w:rPr>
        <w:t>https://www.purdue.edu/drc/about/report.php</w:t>
      </w:r>
      <w:r w:rsidR="002549B4">
        <w:rPr>
          <w:rFonts w:ascii="Times New Roman" w:hAnsi="Times New Roman" w:cs="Times New Roman"/>
          <w:sz w:val="24"/>
          <w:szCs w:val="24"/>
        </w:rPr>
        <w:t xml:space="preserve">. </w:t>
      </w:r>
    </w:p>
    <w:p w14:paraId="7884CBAB" w14:textId="77777777" w:rsidR="00F57A8F" w:rsidRDefault="00F57A8F" w:rsidP="00083D91">
      <w:pPr>
        <w:spacing w:after="0" w:line="240" w:lineRule="auto"/>
        <w:ind w:left="720" w:hanging="720"/>
        <w:rPr>
          <w:rFonts w:ascii="Times New Roman" w:hAnsi="Times New Roman" w:cs="Times New Roman"/>
          <w:sz w:val="24"/>
          <w:szCs w:val="24"/>
        </w:rPr>
      </w:pPr>
    </w:p>
    <w:p w14:paraId="245D1A26" w14:textId="1D33C3C3" w:rsidR="003C0B36" w:rsidRPr="0036067B" w:rsidRDefault="003C0B36" w:rsidP="00083D91">
      <w:pPr>
        <w:spacing w:after="0" w:line="240" w:lineRule="auto"/>
        <w:ind w:left="720" w:hanging="720"/>
        <w:rPr>
          <w:rFonts w:ascii="Times New Roman" w:hAnsi="Times New Roman" w:cs="Times New Roman"/>
          <w:sz w:val="24"/>
          <w:szCs w:val="24"/>
        </w:rPr>
      </w:pPr>
      <w:r w:rsidRPr="00EE2613">
        <w:rPr>
          <w:rFonts w:ascii="Times New Roman" w:hAnsi="Times New Roman" w:cs="Times New Roman"/>
          <w:sz w:val="24"/>
          <w:szCs w:val="24"/>
        </w:rPr>
        <w:t>Flowers</w:t>
      </w:r>
      <w:r w:rsidR="0036067B">
        <w:rPr>
          <w:rFonts w:ascii="Times New Roman" w:hAnsi="Times New Roman" w:cs="Times New Roman"/>
          <w:sz w:val="24"/>
          <w:szCs w:val="24"/>
        </w:rPr>
        <w:t xml:space="preserve">, Johnathan. “COVID-19 and the Disinheritance of an Ableist World,” </w:t>
      </w:r>
      <w:r w:rsidR="0036067B">
        <w:rPr>
          <w:rFonts w:ascii="Times New Roman" w:hAnsi="Times New Roman" w:cs="Times New Roman"/>
          <w:i/>
          <w:iCs/>
          <w:sz w:val="24"/>
          <w:szCs w:val="24"/>
        </w:rPr>
        <w:t>International Journal of Critical Diversity Studies</w:t>
      </w:r>
      <w:r w:rsidR="0036067B">
        <w:rPr>
          <w:rFonts w:ascii="Times New Roman" w:hAnsi="Times New Roman" w:cs="Times New Roman"/>
          <w:sz w:val="24"/>
          <w:szCs w:val="24"/>
        </w:rPr>
        <w:t xml:space="preserve"> 4, no. 1 (2021); 107-126, </w:t>
      </w:r>
      <w:r w:rsidR="00083D91">
        <w:rPr>
          <w:rFonts w:ascii="Times New Roman" w:hAnsi="Times New Roman" w:cs="Times New Roman"/>
          <w:sz w:val="24"/>
          <w:szCs w:val="24"/>
        </w:rPr>
        <w:t>https://www.jstor.org/stable/10.13169/intecritdivestud.4.1.0107.</w:t>
      </w:r>
    </w:p>
    <w:p w14:paraId="2FCF9AA6" w14:textId="77777777" w:rsidR="00822E8B" w:rsidRDefault="00822E8B" w:rsidP="00B04101">
      <w:pPr>
        <w:spacing w:after="0" w:line="240" w:lineRule="auto"/>
        <w:ind w:left="720" w:hanging="720"/>
        <w:rPr>
          <w:rFonts w:ascii="Times New Roman" w:hAnsi="Times New Roman" w:cs="Times New Roman"/>
          <w:sz w:val="24"/>
          <w:szCs w:val="24"/>
        </w:rPr>
      </w:pPr>
    </w:p>
    <w:p w14:paraId="715B87D9" w14:textId="77777777" w:rsidR="00A36694" w:rsidRPr="003F75B8" w:rsidRDefault="00A36694" w:rsidP="00A36694">
      <w:pPr>
        <w:spacing w:after="0" w:line="240" w:lineRule="auto"/>
        <w:ind w:left="720" w:hanging="720"/>
        <w:rPr>
          <w:rFonts w:ascii="Times New Roman" w:hAnsi="Times New Roman" w:cs="Times New Roman"/>
          <w:sz w:val="24"/>
          <w:szCs w:val="24"/>
        </w:rPr>
      </w:pPr>
      <w:r w:rsidRPr="00EE2613">
        <w:rPr>
          <w:rFonts w:ascii="Times New Roman" w:hAnsi="Times New Roman" w:cs="Times New Roman"/>
          <w:sz w:val="24"/>
          <w:szCs w:val="24"/>
        </w:rPr>
        <w:t>Grue</w:t>
      </w:r>
      <w:r>
        <w:rPr>
          <w:rFonts w:ascii="Times New Roman" w:hAnsi="Times New Roman" w:cs="Times New Roman"/>
          <w:sz w:val="24"/>
          <w:szCs w:val="24"/>
        </w:rPr>
        <w:t xml:space="preserve">, Jan. “The High Cost of Living in a Disabling World.” </w:t>
      </w:r>
      <w:r>
        <w:rPr>
          <w:rFonts w:ascii="Times New Roman" w:hAnsi="Times New Roman" w:cs="Times New Roman"/>
          <w:i/>
          <w:iCs/>
          <w:sz w:val="24"/>
          <w:szCs w:val="24"/>
        </w:rPr>
        <w:t>The Guardian</w:t>
      </w:r>
      <w:r>
        <w:rPr>
          <w:rFonts w:ascii="Times New Roman" w:hAnsi="Times New Roman" w:cs="Times New Roman"/>
          <w:sz w:val="24"/>
          <w:szCs w:val="24"/>
        </w:rPr>
        <w:t xml:space="preserve">, November 4, 2021, accessed February 25, 2022, </w:t>
      </w:r>
      <w:r w:rsidRPr="00A36694">
        <w:rPr>
          <w:rFonts w:ascii="Times New Roman" w:hAnsi="Times New Roman" w:cs="Times New Roman"/>
          <w:sz w:val="24"/>
          <w:szCs w:val="24"/>
        </w:rPr>
        <w:t>https://www.theguardian.com/society/2021/nov/04/the-high-cost-of-living-in-a-disabling-world</w:t>
      </w:r>
      <w:r>
        <w:rPr>
          <w:rFonts w:ascii="Times New Roman" w:hAnsi="Times New Roman" w:cs="Times New Roman"/>
          <w:sz w:val="24"/>
          <w:szCs w:val="24"/>
        </w:rPr>
        <w:t>.</w:t>
      </w:r>
    </w:p>
    <w:p w14:paraId="77902EAD" w14:textId="77777777" w:rsidR="00A36694" w:rsidRDefault="00A36694" w:rsidP="00B04101">
      <w:pPr>
        <w:spacing w:after="0" w:line="240" w:lineRule="auto"/>
        <w:ind w:left="720" w:hanging="720"/>
        <w:rPr>
          <w:rFonts w:ascii="Times New Roman" w:hAnsi="Times New Roman" w:cs="Times New Roman"/>
          <w:sz w:val="24"/>
          <w:szCs w:val="24"/>
        </w:rPr>
      </w:pPr>
    </w:p>
    <w:p w14:paraId="57D8ADC5" w14:textId="4C47BFA6" w:rsidR="00BC56DC" w:rsidRDefault="00BC56DC" w:rsidP="00B04101">
      <w:pPr>
        <w:spacing w:after="0" w:line="240" w:lineRule="auto"/>
        <w:ind w:left="720" w:hanging="720"/>
        <w:rPr>
          <w:rFonts w:ascii="Times New Roman" w:hAnsi="Times New Roman" w:cs="Times New Roman"/>
          <w:sz w:val="24"/>
          <w:szCs w:val="24"/>
        </w:rPr>
      </w:pPr>
      <w:proofErr w:type="spellStart"/>
      <w:r>
        <w:rPr>
          <w:rFonts w:ascii="Times New Roman" w:hAnsi="Times New Roman" w:cs="Times New Roman"/>
          <w:sz w:val="24"/>
          <w:szCs w:val="24"/>
        </w:rPr>
        <w:t>Grunawalt</w:t>
      </w:r>
      <w:proofErr w:type="spellEnd"/>
      <w:r>
        <w:rPr>
          <w:rFonts w:ascii="Times New Roman" w:hAnsi="Times New Roman" w:cs="Times New Roman"/>
          <w:sz w:val="24"/>
          <w:szCs w:val="24"/>
        </w:rPr>
        <w:t>, Jordan. “</w:t>
      </w:r>
      <w:r w:rsidR="00B04101">
        <w:rPr>
          <w:rFonts w:ascii="Times New Roman" w:hAnsi="Times New Roman" w:cs="Times New Roman"/>
          <w:sz w:val="24"/>
          <w:szCs w:val="24"/>
        </w:rPr>
        <w:t xml:space="preserve">The Villain Unmasked: COVID-19 and the </w:t>
      </w:r>
      <w:proofErr w:type="spellStart"/>
      <w:r w:rsidR="00B04101">
        <w:rPr>
          <w:rFonts w:ascii="Times New Roman" w:hAnsi="Times New Roman" w:cs="Times New Roman"/>
          <w:sz w:val="24"/>
          <w:szCs w:val="24"/>
        </w:rPr>
        <w:t>Necropolitics</w:t>
      </w:r>
      <w:proofErr w:type="spellEnd"/>
      <w:r w:rsidR="00B04101">
        <w:rPr>
          <w:rFonts w:ascii="Times New Roman" w:hAnsi="Times New Roman" w:cs="Times New Roman"/>
          <w:sz w:val="24"/>
          <w:szCs w:val="24"/>
        </w:rPr>
        <w:t xml:space="preserve"> of the Anti-Mask Movement.” </w:t>
      </w:r>
      <w:r w:rsidR="00B04101">
        <w:rPr>
          <w:rFonts w:ascii="Times New Roman" w:hAnsi="Times New Roman" w:cs="Times New Roman"/>
          <w:i/>
          <w:iCs/>
          <w:sz w:val="24"/>
          <w:szCs w:val="24"/>
        </w:rPr>
        <w:t>Disability Studies Quarterly</w:t>
      </w:r>
      <w:r w:rsidR="00B04101">
        <w:rPr>
          <w:rFonts w:ascii="Times New Roman" w:hAnsi="Times New Roman" w:cs="Times New Roman"/>
          <w:sz w:val="24"/>
          <w:szCs w:val="24"/>
        </w:rPr>
        <w:t xml:space="preserve"> 41, no. 3 (2021). Accessed February 25, 2022. </w:t>
      </w:r>
      <w:r w:rsidR="00B04101" w:rsidRPr="00B04101">
        <w:rPr>
          <w:rFonts w:ascii="Times New Roman" w:hAnsi="Times New Roman" w:cs="Times New Roman"/>
          <w:sz w:val="24"/>
          <w:szCs w:val="24"/>
        </w:rPr>
        <w:t>https://dsq-sds.org/article/view/8343</w:t>
      </w:r>
      <w:r w:rsidR="00B04101">
        <w:rPr>
          <w:rFonts w:ascii="Times New Roman" w:hAnsi="Times New Roman" w:cs="Times New Roman"/>
          <w:sz w:val="24"/>
          <w:szCs w:val="24"/>
        </w:rPr>
        <w:t>.</w:t>
      </w:r>
    </w:p>
    <w:p w14:paraId="44688C62" w14:textId="4A0D3C96" w:rsidR="00822E8B" w:rsidRDefault="00822E8B" w:rsidP="00822E8B">
      <w:pPr>
        <w:spacing w:after="0" w:line="240" w:lineRule="auto"/>
        <w:rPr>
          <w:rFonts w:ascii="Times New Roman" w:hAnsi="Times New Roman" w:cs="Times New Roman"/>
          <w:sz w:val="24"/>
          <w:szCs w:val="24"/>
        </w:rPr>
      </w:pPr>
    </w:p>
    <w:p w14:paraId="7EE8E217" w14:textId="77777777" w:rsidR="004C6656" w:rsidRPr="00CE6A3E" w:rsidRDefault="004C6656" w:rsidP="004C6656">
      <w:pPr>
        <w:spacing w:after="0" w:line="240" w:lineRule="auto"/>
        <w:ind w:left="720" w:hanging="720"/>
        <w:rPr>
          <w:rFonts w:ascii="Times New Roman" w:hAnsi="Times New Roman" w:cs="Times New Roman"/>
          <w:sz w:val="24"/>
          <w:szCs w:val="24"/>
        </w:rPr>
      </w:pPr>
      <w:proofErr w:type="spellStart"/>
      <w:r>
        <w:rPr>
          <w:rFonts w:ascii="Times New Roman" w:hAnsi="Times New Roman" w:cs="Times New Roman"/>
          <w:sz w:val="24"/>
          <w:szCs w:val="24"/>
        </w:rPr>
        <w:t>Iob</w:t>
      </w:r>
      <w:proofErr w:type="spellEnd"/>
      <w:r>
        <w:rPr>
          <w:rFonts w:ascii="Times New Roman" w:hAnsi="Times New Roman" w:cs="Times New Roman"/>
          <w:sz w:val="24"/>
          <w:szCs w:val="24"/>
        </w:rPr>
        <w:t>, Eleonora, Andrew Steptoe, and Daisy Fancourt. “</w:t>
      </w:r>
      <w:r w:rsidRPr="00483FEE">
        <w:rPr>
          <w:rFonts w:ascii="Times New Roman" w:hAnsi="Times New Roman" w:cs="Times New Roman"/>
          <w:sz w:val="24"/>
          <w:szCs w:val="24"/>
        </w:rPr>
        <w:t>Abuse, Self-Harm and Suicidal Ideation in the UK During the COVID-19 Pandemic.”</w:t>
      </w:r>
      <w:r>
        <w:rPr>
          <w:rFonts w:ascii="Times New Roman" w:hAnsi="Times New Roman" w:cs="Times New Roman"/>
          <w:sz w:val="24"/>
          <w:szCs w:val="24"/>
        </w:rPr>
        <w:t xml:space="preserve"> </w:t>
      </w:r>
      <w:r>
        <w:rPr>
          <w:rFonts w:ascii="Times New Roman" w:hAnsi="Times New Roman" w:cs="Times New Roman"/>
          <w:i/>
          <w:iCs/>
          <w:sz w:val="24"/>
          <w:szCs w:val="24"/>
        </w:rPr>
        <w:t>British Journal of Psychiatry</w:t>
      </w:r>
      <w:r>
        <w:rPr>
          <w:rFonts w:ascii="Times New Roman" w:hAnsi="Times New Roman" w:cs="Times New Roman"/>
          <w:sz w:val="24"/>
          <w:szCs w:val="24"/>
        </w:rPr>
        <w:t xml:space="preserve"> 217, no. 4 (2020); 543-546, htttps://doi.org/</w:t>
      </w:r>
      <w:r w:rsidRPr="009678BD">
        <w:t xml:space="preserve"> </w:t>
      </w:r>
      <w:r w:rsidRPr="009678BD">
        <w:rPr>
          <w:rFonts w:ascii="Times New Roman" w:hAnsi="Times New Roman" w:cs="Times New Roman"/>
          <w:sz w:val="24"/>
          <w:szCs w:val="24"/>
        </w:rPr>
        <w:t>10.1192/bjp.2020.130</w:t>
      </w:r>
      <w:r>
        <w:rPr>
          <w:rFonts w:ascii="Times New Roman" w:hAnsi="Times New Roman" w:cs="Times New Roman"/>
          <w:sz w:val="24"/>
          <w:szCs w:val="24"/>
        </w:rPr>
        <w:t>.</w:t>
      </w:r>
    </w:p>
    <w:p w14:paraId="3861117E" w14:textId="77777777" w:rsidR="004C6656" w:rsidRDefault="004C6656" w:rsidP="004C6656">
      <w:pPr>
        <w:spacing w:after="0" w:line="240" w:lineRule="auto"/>
        <w:rPr>
          <w:rFonts w:ascii="Times New Roman" w:hAnsi="Times New Roman" w:cs="Times New Roman"/>
          <w:sz w:val="24"/>
          <w:szCs w:val="24"/>
        </w:rPr>
      </w:pPr>
    </w:p>
    <w:p w14:paraId="62AFB334" w14:textId="57E12F0E" w:rsidR="00586AC1" w:rsidRDefault="00586AC1" w:rsidP="00E307CE">
      <w:pPr>
        <w:spacing w:after="0" w:line="240" w:lineRule="auto"/>
        <w:ind w:left="720" w:hanging="720"/>
        <w:rPr>
          <w:rFonts w:ascii="Times New Roman" w:hAnsi="Times New Roman" w:cs="Times New Roman"/>
          <w:sz w:val="24"/>
          <w:szCs w:val="24"/>
        </w:rPr>
      </w:pPr>
      <w:r>
        <w:rPr>
          <w:rFonts w:ascii="Times New Roman" w:hAnsi="Times New Roman" w:cs="Times New Roman"/>
          <w:sz w:val="24"/>
          <w:szCs w:val="24"/>
        </w:rPr>
        <w:t>Kaplan Daniels</w:t>
      </w:r>
      <w:r>
        <w:rPr>
          <w:rFonts w:ascii="Times New Roman" w:hAnsi="Times New Roman" w:cs="Times New Roman"/>
          <w:sz w:val="24"/>
          <w:szCs w:val="24"/>
        </w:rPr>
        <w:t xml:space="preserve">, Arlene. “Invisible Work.” </w:t>
      </w:r>
      <w:r w:rsidR="00874E46">
        <w:rPr>
          <w:rFonts w:ascii="Times New Roman" w:hAnsi="Times New Roman" w:cs="Times New Roman"/>
          <w:i/>
          <w:iCs/>
          <w:sz w:val="24"/>
          <w:szCs w:val="24"/>
        </w:rPr>
        <w:t>Social Problems</w:t>
      </w:r>
      <w:r w:rsidR="00874E46">
        <w:rPr>
          <w:rFonts w:ascii="Times New Roman" w:hAnsi="Times New Roman" w:cs="Times New Roman"/>
          <w:sz w:val="24"/>
          <w:szCs w:val="24"/>
        </w:rPr>
        <w:t xml:space="preserve"> 34, no. 5 (</w:t>
      </w:r>
      <w:r w:rsidR="002C655F">
        <w:rPr>
          <w:rFonts w:ascii="Times New Roman" w:hAnsi="Times New Roman" w:cs="Times New Roman"/>
          <w:sz w:val="24"/>
          <w:szCs w:val="24"/>
        </w:rPr>
        <w:t xml:space="preserve">1987): 403-415, </w:t>
      </w:r>
      <w:r w:rsidR="002C655F" w:rsidRPr="002C655F">
        <w:rPr>
          <w:rFonts w:ascii="Times New Roman" w:hAnsi="Times New Roman" w:cs="Times New Roman"/>
          <w:sz w:val="24"/>
          <w:szCs w:val="24"/>
        </w:rPr>
        <w:t>https://www.jstor.org/stable/800538</w:t>
      </w:r>
      <w:r w:rsidR="00E307CE">
        <w:rPr>
          <w:rFonts w:ascii="Times New Roman" w:hAnsi="Times New Roman" w:cs="Times New Roman"/>
          <w:sz w:val="24"/>
          <w:szCs w:val="24"/>
        </w:rPr>
        <w:t>.</w:t>
      </w:r>
    </w:p>
    <w:p w14:paraId="74D710A3" w14:textId="09817B79" w:rsidR="004C6656" w:rsidRDefault="004C6656" w:rsidP="00E307CE">
      <w:pPr>
        <w:spacing w:after="0" w:line="240" w:lineRule="auto"/>
        <w:ind w:left="720" w:hanging="720"/>
        <w:rPr>
          <w:rFonts w:ascii="Times New Roman" w:hAnsi="Times New Roman" w:cs="Times New Roman"/>
          <w:sz w:val="24"/>
          <w:szCs w:val="24"/>
        </w:rPr>
      </w:pPr>
    </w:p>
    <w:p w14:paraId="476A7A78" w14:textId="500CEDDA" w:rsidR="004C6656" w:rsidRPr="00F41641" w:rsidRDefault="00E346B5" w:rsidP="002A5584">
      <w:pPr>
        <w:spacing w:after="0" w:line="240" w:lineRule="auto"/>
        <w:ind w:left="720" w:hanging="720"/>
        <w:rPr>
          <w:rFonts w:ascii="Times New Roman" w:hAnsi="Times New Roman" w:cs="Times New Roman"/>
          <w:sz w:val="24"/>
          <w:szCs w:val="24"/>
        </w:rPr>
      </w:pPr>
      <w:r>
        <w:rPr>
          <w:rFonts w:ascii="Times New Roman" w:hAnsi="Times New Roman" w:cs="Times New Roman"/>
          <w:sz w:val="24"/>
          <w:szCs w:val="24"/>
        </w:rPr>
        <w:lastRenderedPageBreak/>
        <w:t>Lederer, Alyssa M., Mary T. Hoban, Sarah K. Lipson, Sasha Zhou</w:t>
      </w:r>
      <w:r w:rsidR="00F41641">
        <w:rPr>
          <w:rFonts w:ascii="Times New Roman" w:hAnsi="Times New Roman" w:cs="Times New Roman"/>
          <w:sz w:val="24"/>
          <w:szCs w:val="24"/>
        </w:rPr>
        <w:t xml:space="preserve">, and Daniel Eisenberg. “More than Inconvenienced: The Unique Needs of U.S. College Students During the COVID-19 Pandemic,” </w:t>
      </w:r>
      <w:r w:rsidR="00F41641">
        <w:rPr>
          <w:rFonts w:ascii="Times New Roman" w:hAnsi="Times New Roman" w:cs="Times New Roman"/>
          <w:i/>
          <w:iCs/>
          <w:sz w:val="24"/>
          <w:szCs w:val="24"/>
        </w:rPr>
        <w:t>Health and Education Behavior</w:t>
      </w:r>
      <w:r w:rsidR="00F41641">
        <w:rPr>
          <w:rFonts w:ascii="Times New Roman" w:hAnsi="Times New Roman" w:cs="Times New Roman"/>
          <w:sz w:val="24"/>
          <w:szCs w:val="24"/>
        </w:rPr>
        <w:t xml:space="preserve"> </w:t>
      </w:r>
      <w:r w:rsidR="002A5584">
        <w:rPr>
          <w:rFonts w:ascii="Times New Roman" w:hAnsi="Times New Roman" w:cs="Times New Roman"/>
          <w:sz w:val="24"/>
          <w:szCs w:val="24"/>
        </w:rPr>
        <w:t xml:space="preserve">48, no. 1 (2020); 14-19, </w:t>
      </w:r>
      <w:r w:rsidR="002A5584" w:rsidRPr="002A5584">
        <w:rPr>
          <w:rFonts w:ascii="Times New Roman" w:hAnsi="Times New Roman" w:cs="Times New Roman"/>
          <w:sz w:val="24"/>
          <w:szCs w:val="24"/>
        </w:rPr>
        <w:t>https://doi.org/10.1177/1090198120969372</w:t>
      </w:r>
      <w:r w:rsidR="002A5584">
        <w:rPr>
          <w:rFonts w:ascii="Times New Roman" w:hAnsi="Times New Roman" w:cs="Times New Roman"/>
          <w:sz w:val="24"/>
          <w:szCs w:val="24"/>
        </w:rPr>
        <w:t>.</w:t>
      </w:r>
    </w:p>
    <w:p w14:paraId="63DDD21C" w14:textId="77777777" w:rsidR="00822E8B" w:rsidRDefault="00822E8B" w:rsidP="00822E8B">
      <w:pPr>
        <w:spacing w:after="0" w:line="240" w:lineRule="auto"/>
        <w:rPr>
          <w:rFonts w:ascii="Times New Roman" w:hAnsi="Times New Roman" w:cs="Times New Roman"/>
          <w:sz w:val="24"/>
          <w:szCs w:val="24"/>
        </w:rPr>
      </w:pPr>
    </w:p>
    <w:p w14:paraId="2C5E94CC" w14:textId="168F3B15" w:rsidR="00AE3E9F" w:rsidRPr="00AE3E9F" w:rsidRDefault="00AE3E9F" w:rsidP="00AE1EFF">
      <w:pPr>
        <w:spacing w:after="0" w:line="240" w:lineRule="auto"/>
        <w:ind w:left="720" w:hanging="720"/>
        <w:rPr>
          <w:rFonts w:ascii="Times New Roman" w:hAnsi="Times New Roman" w:cs="Times New Roman"/>
          <w:sz w:val="24"/>
          <w:szCs w:val="24"/>
        </w:rPr>
      </w:pPr>
      <w:r>
        <w:rPr>
          <w:rFonts w:ascii="Times New Roman" w:hAnsi="Times New Roman" w:cs="Times New Roman"/>
          <w:sz w:val="24"/>
          <w:szCs w:val="24"/>
        </w:rPr>
        <w:t>McClurg, Lesley. “</w:t>
      </w:r>
      <w:r w:rsidRPr="00AE3E9F">
        <w:rPr>
          <w:rFonts w:ascii="Times New Roman" w:hAnsi="Times New Roman" w:cs="Times New Roman"/>
          <w:sz w:val="24"/>
          <w:szCs w:val="24"/>
        </w:rPr>
        <w:t xml:space="preserve">There's </w:t>
      </w:r>
      <w:r>
        <w:rPr>
          <w:rFonts w:ascii="Times New Roman" w:hAnsi="Times New Roman" w:cs="Times New Roman"/>
          <w:sz w:val="24"/>
          <w:szCs w:val="24"/>
        </w:rPr>
        <w:t>O</w:t>
      </w:r>
      <w:r w:rsidRPr="00AE3E9F">
        <w:rPr>
          <w:rFonts w:ascii="Times New Roman" w:hAnsi="Times New Roman" w:cs="Times New Roman"/>
          <w:sz w:val="24"/>
          <w:szCs w:val="24"/>
        </w:rPr>
        <w:t xml:space="preserve">ne </w:t>
      </w:r>
      <w:r>
        <w:rPr>
          <w:rFonts w:ascii="Times New Roman" w:hAnsi="Times New Roman" w:cs="Times New Roman"/>
          <w:sz w:val="24"/>
          <w:szCs w:val="24"/>
        </w:rPr>
        <w:t>P</w:t>
      </w:r>
      <w:r w:rsidRPr="00AE3E9F">
        <w:rPr>
          <w:rFonts w:ascii="Times New Roman" w:hAnsi="Times New Roman" w:cs="Times New Roman"/>
          <w:sz w:val="24"/>
          <w:szCs w:val="24"/>
        </w:rPr>
        <w:t xml:space="preserve">opulation that </w:t>
      </w:r>
      <w:r>
        <w:rPr>
          <w:rFonts w:ascii="Times New Roman" w:hAnsi="Times New Roman" w:cs="Times New Roman"/>
          <w:sz w:val="24"/>
          <w:szCs w:val="24"/>
        </w:rPr>
        <w:t>G</w:t>
      </w:r>
      <w:r w:rsidRPr="00AE3E9F">
        <w:rPr>
          <w:rFonts w:ascii="Times New Roman" w:hAnsi="Times New Roman" w:cs="Times New Roman"/>
          <w:sz w:val="24"/>
          <w:szCs w:val="24"/>
        </w:rPr>
        <w:t xml:space="preserve">ets </w:t>
      </w:r>
      <w:r>
        <w:rPr>
          <w:rFonts w:ascii="Times New Roman" w:hAnsi="Times New Roman" w:cs="Times New Roman"/>
          <w:sz w:val="24"/>
          <w:szCs w:val="24"/>
        </w:rPr>
        <w:t>O</w:t>
      </w:r>
      <w:r w:rsidRPr="00AE3E9F">
        <w:rPr>
          <w:rFonts w:ascii="Times New Roman" w:hAnsi="Times New Roman" w:cs="Times New Roman"/>
          <w:sz w:val="24"/>
          <w:szCs w:val="24"/>
        </w:rPr>
        <w:t>verlooked by an '</w:t>
      </w:r>
      <w:r>
        <w:rPr>
          <w:rFonts w:ascii="Times New Roman" w:hAnsi="Times New Roman" w:cs="Times New Roman"/>
          <w:sz w:val="24"/>
          <w:szCs w:val="24"/>
        </w:rPr>
        <w:t>E</w:t>
      </w:r>
      <w:r w:rsidRPr="00AE3E9F">
        <w:rPr>
          <w:rFonts w:ascii="Times New Roman" w:hAnsi="Times New Roman" w:cs="Times New Roman"/>
          <w:sz w:val="24"/>
          <w:szCs w:val="24"/>
        </w:rPr>
        <w:t xml:space="preserve">veryone </w:t>
      </w:r>
      <w:r>
        <w:rPr>
          <w:rFonts w:ascii="Times New Roman" w:hAnsi="Times New Roman" w:cs="Times New Roman"/>
          <w:sz w:val="24"/>
          <w:szCs w:val="24"/>
        </w:rPr>
        <w:t>W</w:t>
      </w:r>
      <w:r w:rsidRPr="00AE3E9F">
        <w:rPr>
          <w:rFonts w:ascii="Times New Roman" w:hAnsi="Times New Roman" w:cs="Times New Roman"/>
          <w:sz w:val="24"/>
          <w:szCs w:val="24"/>
        </w:rPr>
        <w:t xml:space="preserve">ill </w:t>
      </w:r>
      <w:r>
        <w:rPr>
          <w:rFonts w:ascii="Times New Roman" w:hAnsi="Times New Roman" w:cs="Times New Roman"/>
          <w:sz w:val="24"/>
          <w:szCs w:val="24"/>
        </w:rPr>
        <w:t>G</w:t>
      </w:r>
      <w:r w:rsidRPr="00AE3E9F">
        <w:rPr>
          <w:rFonts w:ascii="Times New Roman" w:hAnsi="Times New Roman" w:cs="Times New Roman"/>
          <w:sz w:val="24"/>
          <w:szCs w:val="24"/>
        </w:rPr>
        <w:t xml:space="preserve">et COVID' </w:t>
      </w:r>
      <w:r>
        <w:rPr>
          <w:rFonts w:ascii="Times New Roman" w:hAnsi="Times New Roman" w:cs="Times New Roman"/>
          <w:sz w:val="24"/>
          <w:szCs w:val="24"/>
        </w:rPr>
        <w:t>M</w:t>
      </w:r>
      <w:r w:rsidRPr="00AE3E9F">
        <w:rPr>
          <w:rFonts w:ascii="Times New Roman" w:hAnsi="Times New Roman" w:cs="Times New Roman"/>
          <w:sz w:val="24"/>
          <w:szCs w:val="24"/>
        </w:rPr>
        <w:t>entality</w:t>
      </w:r>
      <w:r>
        <w:rPr>
          <w:rFonts w:ascii="Times New Roman" w:hAnsi="Times New Roman" w:cs="Times New Roman"/>
          <w:sz w:val="24"/>
          <w:szCs w:val="24"/>
        </w:rPr>
        <w:t xml:space="preserve">,” </w:t>
      </w:r>
      <w:r>
        <w:rPr>
          <w:rFonts w:ascii="Times New Roman" w:hAnsi="Times New Roman" w:cs="Times New Roman"/>
          <w:i/>
          <w:iCs/>
          <w:sz w:val="24"/>
          <w:szCs w:val="24"/>
        </w:rPr>
        <w:t>NPR</w:t>
      </w:r>
      <w:r>
        <w:rPr>
          <w:rFonts w:ascii="Times New Roman" w:hAnsi="Times New Roman" w:cs="Times New Roman"/>
          <w:sz w:val="24"/>
          <w:szCs w:val="24"/>
        </w:rPr>
        <w:t xml:space="preserve"> online, January 26</w:t>
      </w:r>
      <w:r w:rsidR="00B525B7">
        <w:rPr>
          <w:rFonts w:ascii="Times New Roman" w:hAnsi="Times New Roman" w:cs="Times New Roman"/>
          <w:sz w:val="24"/>
          <w:szCs w:val="24"/>
        </w:rPr>
        <w:t>,</w:t>
      </w:r>
      <w:r>
        <w:rPr>
          <w:rFonts w:ascii="Times New Roman" w:hAnsi="Times New Roman" w:cs="Times New Roman"/>
          <w:sz w:val="24"/>
          <w:szCs w:val="24"/>
        </w:rPr>
        <w:t xml:space="preserve"> 2022, </w:t>
      </w:r>
      <w:r w:rsidRPr="00AE3E9F">
        <w:rPr>
          <w:rFonts w:ascii="Times New Roman" w:hAnsi="Times New Roman" w:cs="Times New Roman"/>
          <w:sz w:val="24"/>
          <w:szCs w:val="24"/>
        </w:rPr>
        <w:t>https://www.npr.org/sections/health-shots/2022/01/26/1075549754/covid-disabled-immunocompromised?utm_source=facebook.com&amp;utm_term=nprnews&amp;utm_medium=social&amp;utm_campaign=npr&amp;fbclid=IwAR2uKnWakZF07k2jdlhAOBLNDDkx0vy-8UCbOFag5aabmborEbgUMtxK_z8</w:t>
      </w:r>
      <w:r>
        <w:rPr>
          <w:rFonts w:ascii="Times New Roman" w:hAnsi="Times New Roman" w:cs="Times New Roman"/>
          <w:sz w:val="24"/>
          <w:szCs w:val="24"/>
        </w:rPr>
        <w:t>.</w:t>
      </w:r>
    </w:p>
    <w:p w14:paraId="7E9C2EC3" w14:textId="0404F14C" w:rsidR="00AE3E9F" w:rsidRDefault="00AE3E9F" w:rsidP="00AE1EFF">
      <w:pPr>
        <w:spacing w:after="0" w:line="240" w:lineRule="auto"/>
        <w:ind w:left="720" w:hanging="720"/>
        <w:rPr>
          <w:rFonts w:ascii="Times New Roman" w:hAnsi="Times New Roman" w:cs="Times New Roman"/>
          <w:sz w:val="24"/>
          <w:szCs w:val="24"/>
        </w:rPr>
      </w:pPr>
    </w:p>
    <w:p w14:paraId="6FCBC5BA" w14:textId="1E25560E" w:rsidR="0062421D" w:rsidRPr="007A3687" w:rsidRDefault="0062421D" w:rsidP="00AE1EFF">
      <w:pPr>
        <w:spacing w:after="0" w:line="240" w:lineRule="auto"/>
        <w:ind w:left="720" w:hanging="720"/>
        <w:rPr>
          <w:rFonts w:ascii="Times New Roman" w:hAnsi="Times New Roman" w:cs="Times New Roman"/>
          <w:sz w:val="24"/>
          <w:szCs w:val="24"/>
        </w:rPr>
      </w:pPr>
      <w:r>
        <w:rPr>
          <w:rFonts w:ascii="Times New Roman" w:hAnsi="Times New Roman" w:cs="Times New Roman"/>
          <w:sz w:val="24"/>
          <w:szCs w:val="24"/>
        </w:rPr>
        <w:t xml:space="preserve">Moody, Josh. “Most Colleges Resume In-Person Classes,” </w:t>
      </w:r>
      <w:r w:rsidR="007A3687">
        <w:rPr>
          <w:rFonts w:ascii="Times New Roman" w:hAnsi="Times New Roman" w:cs="Times New Roman"/>
          <w:i/>
          <w:iCs/>
          <w:sz w:val="24"/>
          <w:szCs w:val="24"/>
        </w:rPr>
        <w:t>Inside Higher Ed</w:t>
      </w:r>
      <w:r w:rsidR="007A3687">
        <w:rPr>
          <w:rFonts w:ascii="Times New Roman" w:hAnsi="Times New Roman" w:cs="Times New Roman"/>
          <w:sz w:val="24"/>
          <w:szCs w:val="24"/>
        </w:rPr>
        <w:t xml:space="preserve">, January 6, 2022, </w:t>
      </w:r>
      <w:r w:rsidR="007A3687" w:rsidRPr="007A3687">
        <w:rPr>
          <w:rFonts w:ascii="Times New Roman" w:hAnsi="Times New Roman" w:cs="Times New Roman"/>
          <w:sz w:val="24"/>
          <w:szCs w:val="24"/>
        </w:rPr>
        <w:t>https://www.insidehighered.com/news/2022/01/06/colleges-resuming-person-classes-amid-omicron</w:t>
      </w:r>
    </w:p>
    <w:p w14:paraId="392534CA" w14:textId="77777777" w:rsidR="0062421D" w:rsidRDefault="0062421D" w:rsidP="00AE1EFF">
      <w:pPr>
        <w:spacing w:after="0" w:line="240" w:lineRule="auto"/>
        <w:ind w:left="720" w:hanging="720"/>
        <w:rPr>
          <w:rFonts w:ascii="Times New Roman" w:hAnsi="Times New Roman" w:cs="Times New Roman"/>
          <w:sz w:val="24"/>
          <w:szCs w:val="24"/>
        </w:rPr>
      </w:pPr>
    </w:p>
    <w:p w14:paraId="1ABB07DC" w14:textId="776D5A11" w:rsidR="00A670E4" w:rsidRDefault="00A670E4" w:rsidP="00AE1EFF">
      <w:pPr>
        <w:spacing w:after="0" w:line="240" w:lineRule="auto"/>
        <w:ind w:left="720" w:hanging="720"/>
        <w:rPr>
          <w:rFonts w:ascii="Times New Roman" w:hAnsi="Times New Roman" w:cs="Times New Roman"/>
          <w:sz w:val="24"/>
          <w:szCs w:val="24"/>
        </w:rPr>
      </w:pPr>
      <w:r>
        <w:rPr>
          <w:rFonts w:ascii="Times New Roman" w:hAnsi="Times New Roman" w:cs="Times New Roman"/>
          <w:sz w:val="24"/>
          <w:szCs w:val="24"/>
        </w:rPr>
        <w:t>Raj, Claire. “</w:t>
      </w:r>
      <w:r w:rsidR="00AD0C5C" w:rsidRPr="00AD0C5C">
        <w:rPr>
          <w:rFonts w:ascii="Times New Roman" w:hAnsi="Times New Roman" w:cs="Times New Roman"/>
          <w:sz w:val="24"/>
          <w:szCs w:val="24"/>
        </w:rPr>
        <w:t xml:space="preserve">How </w:t>
      </w:r>
      <w:r w:rsidR="00AD0C5C">
        <w:rPr>
          <w:rFonts w:ascii="Times New Roman" w:hAnsi="Times New Roman" w:cs="Times New Roman"/>
          <w:sz w:val="24"/>
          <w:szCs w:val="24"/>
        </w:rPr>
        <w:t>B</w:t>
      </w:r>
      <w:r w:rsidR="00AD0C5C" w:rsidRPr="00AD0C5C">
        <w:rPr>
          <w:rFonts w:ascii="Times New Roman" w:hAnsi="Times New Roman" w:cs="Times New Roman"/>
          <w:sz w:val="24"/>
          <w:szCs w:val="24"/>
        </w:rPr>
        <w:t xml:space="preserve">ans on </w:t>
      </w:r>
      <w:r w:rsidR="00AD0C5C">
        <w:rPr>
          <w:rFonts w:ascii="Times New Roman" w:hAnsi="Times New Roman" w:cs="Times New Roman"/>
          <w:sz w:val="24"/>
          <w:szCs w:val="24"/>
        </w:rPr>
        <w:t>M</w:t>
      </w:r>
      <w:r w:rsidR="00AD0C5C" w:rsidRPr="00AD0C5C">
        <w:rPr>
          <w:rFonts w:ascii="Times New Roman" w:hAnsi="Times New Roman" w:cs="Times New Roman"/>
          <w:sz w:val="24"/>
          <w:szCs w:val="24"/>
        </w:rPr>
        <w:t xml:space="preserve">ask </w:t>
      </w:r>
      <w:r w:rsidR="00AD0C5C">
        <w:rPr>
          <w:rFonts w:ascii="Times New Roman" w:hAnsi="Times New Roman" w:cs="Times New Roman"/>
          <w:sz w:val="24"/>
          <w:szCs w:val="24"/>
        </w:rPr>
        <w:t>M</w:t>
      </w:r>
      <w:r w:rsidR="00AD0C5C" w:rsidRPr="00AD0C5C">
        <w:rPr>
          <w:rFonts w:ascii="Times New Roman" w:hAnsi="Times New Roman" w:cs="Times New Roman"/>
          <w:sz w:val="24"/>
          <w:szCs w:val="24"/>
        </w:rPr>
        <w:t xml:space="preserve">andates </w:t>
      </w:r>
      <w:r w:rsidR="00AD0C5C">
        <w:rPr>
          <w:rFonts w:ascii="Times New Roman" w:hAnsi="Times New Roman" w:cs="Times New Roman"/>
          <w:sz w:val="24"/>
          <w:szCs w:val="24"/>
        </w:rPr>
        <w:t>A</w:t>
      </w:r>
      <w:r w:rsidR="00AD0C5C" w:rsidRPr="00AD0C5C">
        <w:rPr>
          <w:rFonts w:ascii="Times New Roman" w:hAnsi="Times New Roman" w:cs="Times New Roman"/>
          <w:sz w:val="24"/>
          <w:szCs w:val="24"/>
        </w:rPr>
        <w:t xml:space="preserve">ffect </w:t>
      </w:r>
      <w:r w:rsidR="00AD0C5C">
        <w:rPr>
          <w:rFonts w:ascii="Times New Roman" w:hAnsi="Times New Roman" w:cs="Times New Roman"/>
          <w:sz w:val="24"/>
          <w:szCs w:val="24"/>
        </w:rPr>
        <w:t>S</w:t>
      </w:r>
      <w:r w:rsidR="00AD0C5C" w:rsidRPr="00AD0C5C">
        <w:rPr>
          <w:rFonts w:ascii="Times New Roman" w:hAnsi="Times New Roman" w:cs="Times New Roman"/>
          <w:sz w:val="24"/>
          <w:szCs w:val="24"/>
        </w:rPr>
        <w:t xml:space="preserve">tudents with </w:t>
      </w:r>
      <w:r w:rsidR="00AD0C5C">
        <w:rPr>
          <w:rFonts w:ascii="Times New Roman" w:hAnsi="Times New Roman" w:cs="Times New Roman"/>
          <w:sz w:val="24"/>
          <w:szCs w:val="24"/>
        </w:rPr>
        <w:t>D</w:t>
      </w:r>
      <w:r w:rsidR="00AD0C5C" w:rsidRPr="00AD0C5C">
        <w:rPr>
          <w:rFonts w:ascii="Times New Roman" w:hAnsi="Times New Roman" w:cs="Times New Roman"/>
          <w:sz w:val="24"/>
          <w:szCs w:val="24"/>
        </w:rPr>
        <w:t xml:space="preserve">isabilities – 4 </w:t>
      </w:r>
      <w:r w:rsidR="00AD0C5C">
        <w:rPr>
          <w:rFonts w:ascii="Times New Roman" w:hAnsi="Times New Roman" w:cs="Times New Roman"/>
          <w:sz w:val="24"/>
          <w:szCs w:val="24"/>
        </w:rPr>
        <w:t>Q</w:t>
      </w:r>
      <w:r w:rsidR="00AD0C5C" w:rsidRPr="00AD0C5C">
        <w:rPr>
          <w:rFonts w:ascii="Times New Roman" w:hAnsi="Times New Roman" w:cs="Times New Roman"/>
          <w:sz w:val="24"/>
          <w:szCs w:val="24"/>
        </w:rPr>
        <w:t xml:space="preserve">uestions </w:t>
      </w:r>
      <w:r w:rsidR="00AD0C5C">
        <w:rPr>
          <w:rFonts w:ascii="Times New Roman" w:hAnsi="Times New Roman" w:cs="Times New Roman"/>
          <w:sz w:val="24"/>
          <w:szCs w:val="24"/>
        </w:rPr>
        <w:t>A</w:t>
      </w:r>
      <w:r w:rsidR="00AD0C5C" w:rsidRPr="00AD0C5C">
        <w:rPr>
          <w:rFonts w:ascii="Times New Roman" w:hAnsi="Times New Roman" w:cs="Times New Roman"/>
          <w:sz w:val="24"/>
          <w:szCs w:val="24"/>
        </w:rPr>
        <w:t>nswered</w:t>
      </w:r>
      <w:r w:rsidR="00406D97">
        <w:rPr>
          <w:rFonts w:ascii="Times New Roman" w:hAnsi="Times New Roman" w:cs="Times New Roman"/>
          <w:sz w:val="24"/>
          <w:szCs w:val="24"/>
        </w:rPr>
        <w:t>.</w:t>
      </w:r>
      <w:r w:rsidR="00AD0C5C">
        <w:rPr>
          <w:rFonts w:ascii="Times New Roman" w:hAnsi="Times New Roman" w:cs="Times New Roman"/>
          <w:sz w:val="24"/>
          <w:szCs w:val="24"/>
        </w:rPr>
        <w:t xml:space="preserve">” </w:t>
      </w:r>
      <w:r w:rsidR="00AD0C5C" w:rsidRPr="00B32BB6">
        <w:rPr>
          <w:rFonts w:ascii="Times New Roman" w:hAnsi="Times New Roman" w:cs="Times New Roman"/>
          <w:i/>
          <w:iCs/>
          <w:sz w:val="24"/>
          <w:szCs w:val="24"/>
        </w:rPr>
        <w:t>The</w:t>
      </w:r>
      <w:r w:rsidR="00406D97" w:rsidRPr="00B32BB6">
        <w:rPr>
          <w:rFonts w:ascii="Times New Roman" w:hAnsi="Times New Roman" w:cs="Times New Roman"/>
          <w:i/>
          <w:iCs/>
          <w:sz w:val="24"/>
          <w:szCs w:val="24"/>
        </w:rPr>
        <w:t xml:space="preserve"> Conversation</w:t>
      </w:r>
      <w:r w:rsidR="00406D97">
        <w:rPr>
          <w:rFonts w:ascii="Times New Roman" w:hAnsi="Times New Roman" w:cs="Times New Roman"/>
          <w:sz w:val="24"/>
          <w:szCs w:val="24"/>
        </w:rPr>
        <w:t>. Last modified</w:t>
      </w:r>
      <w:r w:rsidR="00AD0C5C">
        <w:rPr>
          <w:rFonts w:ascii="Times New Roman" w:hAnsi="Times New Roman" w:cs="Times New Roman"/>
          <w:sz w:val="24"/>
          <w:szCs w:val="24"/>
        </w:rPr>
        <w:t xml:space="preserve"> </w:t>
      </w:r>
      <w:r w:rsidR="00AE1EFF">
        <w:rPr>
          <w:rFonts w:ascii="Times New Roman" w:hAnsi="Times New Roman" w:cs="Times New Roman"/>
          <w:sz w:val="24"/>
          <w:szCs w:val="24"/>
        </w:rPr>
        <w:t xml:space="preserve">September 10, 2021, </w:t>
      </w:r>
      <w:r w:rsidR="00AE1EFF" w:rsidRPr="00AE1EFF">
        <w:rPr>
          <w:rFonts w:ascii="Times New Roman" w:hAnsi="Times New Roman" w:cs="Times New Roman"/>
          <w:sz w:val="24"/>
          <w:szCs w:val="24"/>
        </w:rPr>
        <w:t>https://theconversation.com/how-bans-on-mask-mandates-affect-students-with-disabilities-4-questions-answered-167024</w:t>
      </w:r>
      <w:r w:rsidR="00AE1EFF">
        <w:rPr>
          <w:rFonts w:ascii="Times New Roman" w:hAnsi="Times New Roman" w:cs="Times New Roman"/>
          <w:sz w:val="24"/>
          <w:szCs w:val="24"/>
        </w:rPr>
        <w:t>.</w:t>
      </w:r>
    </w:p>
    <w:p w14:paraId="6D123C8E" w14:textId="77777777" w:rsidR="00AE1EFF" w:rsidRPr="00AD0C5C" w:rsidRDefault="00AE1EFF" w:rsidP="00822E8B">
      <w:pPr>
        <w:spacing w:after="0" w:line="240" w:lineRule="auto"/>
        <w:rPr>
          <w:rFonts w:ascii="Times New Roman" w:hAnsi="Times New Roman" w:cs="Times New Roman"/>
          <w:sz w:val="24"/>
          <w:szCs w:val="24"/>
        </w:rPr>
      </w:pPr>
    </w:p>
    <w:p w14:paraId="5414EB68" w14:textId="34F32E70" w:rsidR="00FF5A3C" w:rsidRPr="00786598" w:rsidRDefault="00FF5A3C" w:rsidP="00E41FF8">
      <w:pPr>
        <w:spacing w:after="0" w:line="240" w:lineRule="auto"/>
        <w:ind w:left="720" w:hanging="720"/>
        <w:rPr>
          <w:rFonts w:ascii="Times New Roman" w:hAnsi="Times New Roman" w:cs="Times New Roman"/>
          <w:sz w:val="24"/>
          <w:szCs w:val="24"/>
        </w:rPr>
      </w:pPr>
      <w:r w:rsidRPr="00EE2613">
        <w:rPr>
          <w:rFonts w:ascii="Times New Roman" w:hAnsi="Times New Roman" w:cs="Times New Roman"/>
          <w:sz w:val="24"/>
          <w:szCs w:val="24"/>
        </w:rPr>
        <w:t>S</w:t>
      </w:r>
      <w:r>
        <w:rPr>
          <w:rFonts w:ascii="Times New Roman" w:hAnsi="Times New Roman" w:cs="Times New Roman"/>
          <w:sz w:val="24"/>
          <w:szCs w:val="24"/>
        </w:rPr>
        <w:t>chur, Lisa A., Mason Ameri, and Douglas Kruse. “</w:t>
      </w:r>
      <w:r w:rsidR="00786598">
        <w:rPr>
          <w:rFonts w:ascii="Times New Roman" w:hAnsi="Times New Roman" w:cs="Times New Roman"/>
          <w:sz w:val="24"/>
          <w:szCs w:val="24"/>
        </w:rPr>
        <w:t>T</w:t>
      </w:r>
      <w:r w:rsidR="00786598" w:rsidRPr="00786598">
        <w:rPr>
          <w:rFonts w:ascii="Times New Roman" w:hAnsi="Times New Roman" w:cs="Times New Roman"/>
          <w:sz w:val="24"/>
          <w:szCs w:val="24"/>
        </w:rPr>
        <w:t xml:space="preserve">elework After COVID: A </w:t>
      </w:r>
      <w:r w:rsidR="00786598">
        <w:rPr>
          <w:rFonts w:ascii="Times New Roman" w:hAnsi="Times New Roman" w:cs="Times New Roman"/>
          <w:sz w:val="24"/>
          <w:szCs w:val="24"/>
        </w:rPr>
        <w:t>‘</w:t>
      </w:r>
      <w:r w:rsidR="00786598" w:rsidRPr="00786598">
        <w:rPr>
          <w:rFonts w:ascii="Times New Roman" w:hAnsi="Times New Roman" w:cs="Times New Roman"/>
          <w:sz w:val="24"/>
          <w:szCs w:val="24"/>
        </w:rPr>
        <w:t>Silver Lining</w:t>
      </w:r>
      <w:r w:rsidR="00786598">
        <w:rPr>
          <w:rFonts w:ascii="Times New Roman" w:hAnsi="Times New Roman" w:cs="Times New Roman"/>
          <w:sz w:val="24"/>
          <w:szCs w:val="24"/>
        </w:rPr>
        <w:t>’</w:t>
      </w:r>
      <w:r w:rsidR="00786598" w:rsidRPr="00786598">
        <w:rPr>
          <w:rFonts w:ascii="Times New Roman" w:hAnsi="Times New Roman" w:cs="Times New Roman"/>
          <w:sz w:val="24"/>
          <w:szCs w:val="24"/>
        </w:rPr>
        <w:t xml:space="preserve"> for Workers with Disabilities?</w:t>
      </w:r>
      <w:r w:rsidR="00786598">
        <w:rPr>
          <w:rFonts w:ascii="Times New Roman" w:hAnsi="Times New Roman" w:cs="Times New Roman"/>
          <w:sz w:val="24"/>
          <w:szCs w:val="24"/>
        </w:rPr>
        <w:t xml:space="preserve">” </w:t>
      </w:r>
      <w:r w:rsidR="00786598">
        <w:rPr>
          <w:rFonts w:ascii="Times New Roman" w:hAnsi="Times New Roman" w:cs="Times New Roman"/>
          <w:i/>
          <w:iCs/>
          <w:sz w:val="24"/>
          <w:szCs w:val="24"/>
        </w:rPr>
        <w:t>Journal of Occupational Rehabilitation</w:t>
      </w:r>
      <w:r w:rsidR="00786598">
        <w:rPr>
          <w:rFonts w:ascii="Times New Roman" w:hAnsi="Times New Roman" w:cs="Times New Roman"/>
          <w:sz w:val="24"/>
          <w:szCs w:val="24"/>
        </w:rPr>
        <w:t xml:space="preserve"> </w:t>
      </w:r>
      <w:r w:rsidR="00653B2C">
        <w:rPr>
          <w:rFonts w:ascii="Times New Roman" w:hAnsi="Times New Roman" w:cs="Times New Roman"/>
          <w:sz w:val="24"/>
          <w:szCs w:val="24"/>
        </w:rPr>
        <w:t xml:space="preserve">30, no. 4 (2020); 521-536, Accessed February 25, 2022, </w:t>
      </w:r>
      <w:r w:rsidR="005F1913">
        <w:rPr>
          <w:rFonts w:ascii="Times New Roman" w:hAnsi="Times New Roman" w:cs="Times New Roman"/>
          <w:sz w:val="24"/>
          <w:szCs w:val="24"/>
        </w:rPr>
        <w:t>https://doi.org/</w:t>
      </w:r>
      <w:r w:rsidR="005F1913" w:rsidRPr="005F1913">
        <w:rPr>
          <w:rFonts w:ascii="Times New Roman" w:hAnsi="Times New Roman" w:cs="Times New Roman"/>
          <w:sz w:val="24"/>
          <w:szCs w:val="24"/>
        </w:rPr>
        <w:t>10.1007/s10926-020-09936-5</w:t>
      </w:r>
      <w:r w:rsidR="005F1913">
        <w:rPr>
          <w:rFonts w:ascii="Times New Roman" w:hAnsi="Times New Roman" w:cs="Times New Roman"/>
          <w:sz w:val="24"/>
          <w:szCs w:val="24"/>
        </w:rPr>
        <w:t>.</w:t>
      </w:r>
    </w:p>
    <w:p w14:paraId="5D279F3E" w14:textId="77777777" w:rsidR="00FF5A3C" w:rsidRDefault="00FF5A3C" w:rsidP="00E41FF8">
      <w:pPr>
        <w:spacing w:after="0" w:line="240" w:lineRule="auto"/>
        <w:rPr>
          <w:rFonts w:ascii="Times New Roman" w:hAnsi="Times New Roman" w:cs="Times New Roman"/>
          <w:sz w:val="24"/>
          <w:szCs w:val="24"/>
        </w:rPr>
      </w:pPr>
    </w:p>
    <w:p w14:paraId="0F56BDC2" w14:textId="3C30C966" w:rsidR="004C6656" w:rsidRPr="00075C7F" w:rsidRDefault="004C6656" w:rsidP="0007326D">
      <w:pPr>
        <w:spacing w:after="0" w:line="240" w:lineRule="auto"/>
        <w:ind w:left="720" w:hanging="720"/>
        <w:rPr>
          <w:rFonts w:ascii="Times New Roman" w:hAnsi="Times New Roman" w:cs="Times New Roman"/>
          <w:sz w:val="24"/>
          <w:szCs w:val="24"/>
        </w:rPr>
      </w:pPr>
      <w:r w:rsidRPr="00EE2613">
        <w:rPr>
          <w:rFonts w:ascii="Times New Roman" w:hAnsi="Times New Roman" w:cs="Times New Roman"/>
          <w:sz w:val="24"/>
          <w:szCs w:val="24"/>
        </w:rPr>
        <w:t>Wang</w:t>
      </w:r>
      <w:r w:rsidR="00BF2DC5">
        <w:rPr>
          <w:rFonts w:ascii="Times New Roman" w:hAnsi="Times New Roman" w:cs="Times New Roman"/>
          <w:sz w:val="24"/>
          <w:szCs w:val="24"/>
        </w:rPr>
        <w:t xml:space="preserve">, Ken, </w:t>
      </w:r>
      <w:r w:rsidR="00BF2DC5" w:rsidRPr="00BF2DC5">
        <w:rPr>
          <w:rFonts w:ascii="Times New Roman" w:hAnsi="Times New Roman" w:cs="Times New Roman"/>
          <w:sz w:val="24"/>
          <w:szCs w:val="24"/>
        </w:rPr>
        <w:t>Robert B. Manning II</w:t>
      </w:r>
      <w:r w:rsidR="006651AE">
        <w:rPr>
          <w:rFonts w:ascii="Times New Roman" w:hAnsi="Times New Roman" w:cs="Times New Roman"/>
          <w:sz w:val="24"/>
          <w:szCs w:val="24"/>
        </w:rPr>
        <w:t>I</w:t>
      </w:r>
      <w:r w:rsidR="00BF2DC5" w:rsidRPr="00BF2DC5">
        <w:rPr>
          <w:rFonts w:ascii="Times New Roman" w:hAnsi="Times New Roman" w:cs="Times New Roman"/>
          <w:sz w:val="24"/>
          <w:szCs w:val="24"/>
        </w:rPr>
        <w:t>, Kathleen R. Bogart, Jonathan M. Adler</w:t>
      </w:r>
      <w:r w:rsidR="006651AE">
        <w:rPr>
          <w:rFonts w:ascii="Times New Roman" w:hAnsi="Times New Roman" w:cs="Times New Roman"/>
          <w:sz w:val="24"/>
          <w:szCs w:val="24"/>
        </w:rPr>
        <w:t xml:space="preserve">, </w:t>
      </w:r>
      <w:r w:rsidR="006651AE" w:rsidRPr="006651AE">
        <w:rPr>
          <w:rFonts w:ascii="Times New Roman" w:hAnsi="Times New Roman" w:cs="Times New Roman"/>
          <w:sz w:val="24"/>
          <w:szCs w:val="24"/>
        </w:rPr>
        <w:t>Michelle R. Nario-Redmond, Joan M. Ostrove, and Sarah R. Low</w:t>
      </w:r>
      <w:r w:rsidR="006651AE">
        <w:rPr>
          <w:rFonts w:ascii="Times New Roman" w:hAnsi="Times New Roman" w:cs="Times New Roman"/>
          <w:sz w:val="24"/>
          <w:szCs w:val="24"/>
        </w:rPr>
        <w:t>e. “</w:t>
      </w:r>
      <w:r w:rsidR="00D836CD" w:rsidRPr="00D836CD">
        <w:rPr>
          <w:rFonts w:ascii="Times New Roman" w:hAnsi="Times New Roman" w:cs="Times New Roman"/>
          <w:sz w:val="24"/>
          <w:szCs w:val="24"/>
        </w:rPr>
        <w:t xml:space="preserve">Predicting Depression and Anxiety Among </w:t>
      </w:r>
      <w:r w:rsidR="00D836CD">
        <w:rPr>
          <w:rFonts w:ascii="Times New Roman" w:hAnsi="Times New Roman" w:cs="Times New Roman"/>
          <w:sz w:val="24"/>
          <w:szCs w:val="24"/>
        </w:rPr>
        <w:t>A</w:t>
      </w:r>
      <w:r w:rsidR="00D836CD" w:rsidRPr="00D836CD">
        <w:rPr>
          <w:rFonts w:ascii="Times New Roman" w:hAnsi="Times New Roman" w:cs="Times New Roman"/>
          <w:sz w:val="24"/>
          <w:szCs w:val="24"/>
        </w:rPr>
        <w:t>dults With Disabilities During</w:t>
      </w:r>
      <w:r w:rsidR="00D836CD">
        <w:rPr>
          <w:rFonts w:ascii="Times New Roman" w:hAnsi="Times New Roman" w:cs="Times New Roman"/>
          <w:sz w:val="24"/>
          <w:szCs w:val="24"/>
        </w:rPr>
        <w:t xml:space="preserve"> </w:t>
      </w:r>
      <w:r w:rsidR="00D836CD" w:rsidRPr="00D836CD">
        <w:rPr>
          <w:rFonts w:ascii="Times New Roman" w:hAnsi="Times New Roman" w:cs="Times New Roman"/>
          <w:sz w:val="24"/>
          <w:szCs w:val="24"/>
        </w:rPr>
        <w:t>the COVID-19 Pandemic</w:t>
      </w:r>
      <w:r w:rsidR="00D836CD">
        <w:rPr>
          <w:rFonts w:ascii="Times New Roman" w:hAnsi="Times New Roman" w:cs="Times New Roman"/>
          <w:sz w:val="24"/>
          <w:szCs w:val="24"/>
        </w:rPr>
        <w:t xml:space="preserve">,” </w:t>
      </w:r>
      <w:r w:rsidR="00D836CD">
        <w:rPr>
          <w:rFonts w:ascii="Times New Roman" w:hAnsi="Times New Roman" w:cs="Times New Roman"/>
          <w:i/>
          <w:iCs/>
          <w:sz w:val="24"/>
          <w:szCs w:val="24"/>
        </w:rPr>
        <w:t>Rehabilitation Psychology</w:t>
      </w:r>
      <w:r w:rsidR="00075C7F">
        <w:rPr>
          <w:rFonts w:ascii="Times New Roman" w:hAnsi="Times New Roman" w:cs="Times New Roman"/>
          <w:i/>
          <w:iCs/>
          <w:sz w:val="24"/>
          <w:szCs w:val="24"/>
        </w:rPr>
        <w:t xml:space="preserve">, </w:t>
      </w:r>
      <w:r w:rsidR="00075C7F">
        <w:rPr>
          <w:rFonts w:ascii="Times New Roman" w:hAnsi="Times New Roman" w:cs="Times New Roman"/>
          <w:sz w:val="24"/>
          <w:szCs w:val="24"/>
        </w:rPr>
        <w:t>Advanced online publication (2022)</w:t>
      </w:r>
      <w:r w:rsidR="0007326D">
        <w:rPr>
          <w:rFonts w:ascii="Times New Roman" w:hAnsi="Times New Roman" w:cs="Times New Roman"/>
          <w:sz w:val="24"/>
          <w:szCs w:val="24"/>
        </w:rPr>
        <w:t xml:space="preserve">; 1-10, </w:t>
      </w:r>
      <w:r w:rsidR="0007326D" w:rsidRPr="0007326D">
        <w:rPr>
          <w:rFonts w:ascii="Times New Roman" w:hAnsi="Times New Roman" w:cs="Times New Roman"/>
          <w:sz w:val="24"/>
          <w:szCs w:val="24"/>
        </w:rPr>
        <w:t>http://dx.doi.org/10.1037/rep0000434</w:t>
      </w:r>
    </w:p>
    <w:p w14:paraId="4639418D" w14:textId="77777777" w:rsidR="004C6656" w:rsidRDefault="004C6656" w:rsidP="001F0F56">
      <w:pPr>
        <w:spacing w:after="0" w:line="240" w:lineRule="auto"/>
        <w:ind w:left="720" w:hanging="720"/>
        <w:rPr>
          <w:rFonts w:ascii="Times New Roman" w:hAnsi="Times New Roman" w:cs="Times New Roman"/>
          <w:sz w:val="24"/>
          <w:szCs w:val="24"/>
        </w:rPr>
      </w:pPr>
    </w:p>
    <w:p w14:paraId="639D1E88" w14:textId="0DBA7C25" w:rsidR="00BD1B21" w:rsidRPr="001F0F56" w:rsidRDefault="00BD1B21" w:rsidP="001F0F56">
      <w:pPr>
        <w:spacing w:after="0" w:line="240" w:lineRule="auto"/>
        <w:ind w:left="720" w:hanging="720"/>
        <w:rPr>
          <w:rFonts w:ascii="Times New Roman" w:hAnsi="Times New Roman" w:cs="Times New Roman"/>
          <w:sz w:val="24"/>
          <w:szCs w:val="24"/>
        </w:rPr>
      </w:pPr>
      <w:r>
        <w:rPr>
          <w:rFonts w:ascii="Times New Roman" w:hAnsi="Times New Roman" w:cs="Times New Roman"/>
          <w:sz w:val="24"/>
          <w:szCs w:val="24"/>
        </w:rPr>
        <w:t xml:space="preserve">Weiner, Stacy. “What Happens to Telemedicine after COVID-19?” </w:t>
      </w:r>
      <w:r w:rsidR="001F0F56">
        <w:rPr>
          <w:rFonts w:ascii="Times New Roman" w:hAnsi="Times New Roman" w:cs="Times New Roman"/>
          <w:sz w:val="24"/>
          <w:szCs w:val="24"/>
        </w:rPr>
        <w:t xml:space="preserve">Association of American Medical Colleges. Last modified October 21, 2021, </w:t>
      </w:r>
      <w:r w:rsidR="001F0F56" w:rsidRPr="001F0F56">
        <w:rPr>
          <w:rFonts w:ascii="Times New Roman" w:hAnsi="Times New Roman" w:cs="Times New Roman"/>
          <w:sz w:val="24"/>
          <w:szCs w:val="24"/>
        </w:rPr>
        <w:t>https://www.aamc.org/news-insights/what-happens-telemedicine-after-covid-19</w:t>
      </w:r>
      <w:r w:rsidR="001F0F56">
        <w:rPr>
          <w:rFonts w:ascii="Times New Roman" w:hAnsi="Times New Roman" w:cs="Times New Roman"/>
          <w:sz w:val="24"/>
          <w:szCs w:val="24"/>
        </w:rPr>
        <w:t>.</w:t>
      </w:r>
    </w:p>
    <w:p w14:paraId="27D77FB2" w14:textId="77777777" w:rsidR="00BD1B21" w:rsidRDefault="00BD1B21" w:rsidP="00822E8B">
      <w:pPr>
        <w:spacing w:after="0" w:line="240" w:lineRule="auto"/>
        <w:rPr>
          <w:rFonts w:ascii="Times New Roman" w:hAnsi="Times New Roman" w:cs="Times New Roman"/>
          <w:sz w:val="24"/>
          <w:szCs w:val="24"/>
        </w:rPr>
      </w:pPr>
    </w:p>
    <w:p w14:paraId="6A97AD2F" w14:textId="0FE35E87" w:rsidR="003C0B36" w:rsidRPr="0091215D" w:rsidRDefault="003C0B36" w:rsidP="00926CBD">
      <w:pPr>
        <w:spacing w:after="0" w:line="240" w:lineRule="auto"/>
        <w:ind w:left="720" w:hanging="720"/>
        <w:rPr>
          <w:rFonts w:ascii="Times New Roman" w:hAnsi="Times New Roman" w:cs="Times New Roman"/>
          <w:sz w:val="24"/>
          <w:szCs w:val="24"/>
        </w:rPr>
      </w:pPr>
      <w:r w:rsidRPr="00EE2613">
        <w:rPr>
          <w:rFonts w:ascii="Times New Roman" w:hAnsi="Times New Roman" w:cs="Times New Roman"/>
          <w:sz w:val="24"/>
          <w:szCs w:val="24"/>
        </w:rPr>
        <w:t>Williamson</w:t>
      </w:r>
      <w:r w:rsidR="00157565">
        <w:rPr>
          <w:rFonts w:ascii="Times New Roman" w:hAnsi="Times New Roman" w:cs="Times New Roman"/>
          <w:sz w:val="24"/>
          <w:szCs w:val="24"/>
        </w:rPr>
        <w:t xml:space="preserve">, Bess. </w:t>
      </w:r>
      <w:r w:rsidR="007A3191">
        <w:rPr>
          <w:rFonts w:ascii="Times New Roman" w:hAnsi="Times New Roman" w:cs="Times New Roman"/>
          <w:sz w:val="24"/>
          <w:szCs w:val="24"/>
        </w:rPr>
        <w:t>“Access</w:t>
      </w:r>
      <w:r w:rsidR="0091215D">
        <w:rPr>
          <w:rFonts w:ascii="Times New Roman" w:hAnsi="Times New Roman" w:cs="Times New Roman"/>
          <w:sz w:val="24"/>
          <w:szCs w:val="24"/>
        </w:rPr>
        <w:t xml:space="preserve">,” in </w:t>
      </w:r>
      <w:r w:rsidR="00963144">
        <w:rPr>
          <w:rFonts w:ascii="Times New Roman" w:hAnsi="Times New Roman" w:cs="Times New Roman"/>
          <w:i/>
          <w:iCs/>
          <w:sz w:val="24"/>
          <w:szCs w:val="24"/>
        </w:rPr>
        <w:t>Keywords for Disability Studies</w:t>
      </w:r>
      <w:r w:rsidR="0091215D">
        <w:rPr>
          <w:rFonts w:ascii="Times New Roman" w:hAnsi="Times New Roman" w:cs="Times New Roman"/>
          <w:sz w:val="24"/>
          <w:szCs w:val="24"/>
        </w:rPr>
        <w:t>, ed</w:t>
      </w:r>
      <w:r w:rsidR="009B786E">
        <w:rPr>
          <w:rFonts w:ascii="Times New Roman" w:hAnsi="Times New Roman" w:cs="Times New Roman"/>
          <w:sz w:val="24"/>
          <w:szCs w:val="24"/>
        </w:rPr>
        <w:t xml:space="preserve">ited by Rachel Adams, Benjamin, Reiss, and David Serlin, 14. </w:t>
      </w:r>
      <w:r w:rsidR="00837606">
        <w:rPr>
          <w:rFonts w:ascii="Times New Roman" w:hAnsi="Times New Roman" w:cs="Times New Roman"/>
          <w:sz w:val="24"/>
          <w:szCs w:val="24"/>
        </w:rPr>
        <w:t>New York: NYU Press, 2015.</w:t>
      </w:r>
      <w:r w:rsidR="00D56130">
        <w:rPr>
          <w:rFonts w:ascii="Times New Roman" w:hAnsi="Times New Roman" w:cs="Times New Roman"/>
          <w:sz w:val="24"/>
          <w:szCs w:val="24"/>
        </w:rPr>
        <w:t xml:space="preserve"> Accessed February 25, 2022. </w:t>
      </w:r>
      <w:r w:rsidR="00926CBD" w:rsidRPr="00926CBD">
        <w:rPr>
          <w:rFonts w:ascii="Times New Roman" w:hAnsi="Times New Roman" w:cs="Times New Roman"/>
          <w:sz w:val="24"/>
          <w:szCs w:val="24"/>
        </w:rPr>
        <w:t>https://keywords.nyupress.org/disability-studies/essay/access/</w:t>
      </w:r>
      <w:r w:rsidR="00926CBD">
        <w:rPr>
          <w:rFonts w:ascii="Times New Roman" w:hAnsi="Times New Roman" w:cs="Times New Roman"/>
          <w:sz w:val="24"/>
          <w:szCs w:val="24"/>
        </w:rPr>
        <w:t>.</w:t>
      </w:r>
    </w:p>
    <w:p w14:paraId="239E60FF" w14:textId="77777777" w:rsidR="00822E8B" w:rsidRDefault="00822E8B" w:rsidP="00822E8B">
      <w:pPr>
        <w:spacing w:after="0" w:line="240" w:lineRule="auto"/>
        <w:rPr>
          <w:rFonts w:ascii="Times New Roman" w:hAnsi="Times New Roman" w:cs="Times New Roman"/>
          <w:sz w:val="24"/>
          <w:szCs w:val="24"/>
        </w:rPr>
      </w:pPr>
    </w:p>
    <w:p w14:paraId="67D6D711" w14:textId="3D21E7FC" w:rsidR="00822E8B" w:rsidRDefault="00137E78" w:rsidP="00A5452A">
      <w:pPr>
        <w:spacing w:after="0" w:line="240" w:lineRule="auto"/>
        <w:ind w:left="720" w:hanging="720"/>
        <w:rPr>
          <w:rFonts w:ascii="Times New Roman" w:hAnsi="Times New Roman" w:cs="Times New Roman"/>
          <w:sz w:val="24"/>
          <w:szCs w:val="24"/>
        </w:rPr>
      </w:pPr>
      <w:r>
        <w:rPr>
          <w:rFonts w:ascii="Times New Roman" w:hAnsi="Times New Roman" w:cs="Times New Roman"/>
          <w:sz w:val="24"/>
          <w:szCs w:val="24"/>
        </w:rPr>
        <w:t>“</w:t>
      </w:r>
      <w:r w:rsidRPr="00137E78">
        <w:rPr>
          <w:rFonts w:ascii="Times New Roman" w:hAnsi="Times New Roman" w:cs="Times New Roman"/>
          <w:sz w:val="24"/>
          <w:szCs w:val="24"/>
        </w:rPr>
        <w:t>The U.S. States That Are Ending Mask Mandates</w:t>
      </w:r>
      <w:r w:rsidR="004E338E">
        <w:rPr>
          <w:rFonts w:ascii="Times New Roman" w:hAnsi="Times New Roman" w:cs="Times New Roman"/>
          <w:sz w:val="24"/>
          <w:szCs w:val="24"/>
        </w:rPr>
        <w:t>,</w:t>
      </w:r>
      <w:r>
        <w:rPr>
          <w:rFonts w:ascii="Times New Roman" w:hAnsi="Times New Roman" w:cs="Times New Roman"/>
          <w:sz w:val="24"/>
          <w:szCs w:val="24"/>
        </w:rPr>
        <w:t>”</w:t>
      </w:r>
      <w:r w:rsidR="004E338E">
        <w:rPr>
          <w:rFonts w:ascii="Times New Roman" w:hAnsi="Times New Roman" w:cs="Times New Roman"/>
          <w:sz w:val="24"/>
          <w:szCs w:val="24"/>
        </w:rPr>
        <w:t xml:space="preserve"> </w:t>
      </w:r>
      <w:r w:rsidR="004E338E">
        <w:rPr>
          <w:rFonts w:ascii="Times New Roman" w:hAnsi="Times New Roman" w:cs="Times New Roman"/>
          <w:i/>
          <w:iCs/>
          <w:sz w:val="24"/>
          <w:szCs w:val="24"/>
        </w:rPr>
        <w:t>The New York Times</w:t>
      </w:r>
      <w:r w:rsidR="004E338E">
        <w:rPr>
          <w:rFonts w:ascii="Times New Roman" w:hAnsi="Times New Roman" w:cs="Times New Roman"/>
          <w:sz w:val="24"/>
          <w:szCs w:val="24"/>
        </w:rPr>
        <w:t xml:space="preserve"> online, February 23, 2022</w:t>
      </w:r>
      <w:r w:rsidR="00694FFA">
        <w:rPr>
          <w:rFonts w:ascii="Times New Roman" w:hAnsi="Times New Roman" w:cs="Times New Roman"/>
          <w:sz w:val="24"/>
          <w:szCs w:val="24"/>
        </w:rPr>
        <w:t xml:space="preserve">, </w:t>
      </w:r>
      <w:r w:rsidR="00694FFA" w:rsidRPr="00694FFA">
        <w:rPr>
          <w:rFonts w:ascii="Times New Roman" w:hAnsi="Times New Roman" w:cs="Times New Roman"/>
          <w:sz w:val="24"/>
          <w:szCs w:val="24"/>
        </w:rPr>
        <w:t>https://www.nytimes.com/article/mask-mandates-us.html?auth=login-google</w:t>
      </w:r>
      <w:r w:rsidR="00694FFA">
        <w:rPr>
          <w:rFonts w:ascii="Times New Roman" w:hAnsi="Times New Roman" w:cs="Times New Roman"/>
          <w:sz w:val="24"/>
          <w:szCs w:val="24"/>
        </w:rPr>
        <w:t>.</w:t>
      </w:r>
    </w:p>
    <w:p w14:paraId="46E89A2B" w14:textId="77777777" w:rsidR="00A670E4" w:rsidRDefault="00A670E4" w:rsidP="00822E8B">
      <w:pPr>
        <w:spacing w:after="0" w:line="240" w:lineRule="auto"/>
        <w:rPr>
          <w:rFonts w:ascii="Times New Roman" w:hAnsi="Times New Roman" w:cs="Times New Roman"/>
          <w:sz w:val="24"/>
          <w:szCs w:val="24"/>
        </w:rPr>
      </w:pPr>
    </w:p>
    <w:p w14:paraId="4A2DAADB" w14:textId="17F3FB29" w:rsidR="007A6F04" w:rsidRPr="00EE2613" w:rsidRDefault="007A6F04" w:rsidP="00822E8B">
      <w:pPr>
        <w:spacing w:after="0" w:line="240" w:lineRule="auto"/>
        <w:rPr>
          <w:rFonts w:ascii="Times New Roman" w:hAnsi="Times New Roman" w:cs="Times New Roman"/>
          <w:sz w:val="24"/>
          <w:szCs w:val="24"/>
        </w:rPr>
      </w:pPr>
    </w:p>
    <w:sectPr w:rsidR="007A6F04" w:rsidRPr="00EE2613">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E1FED5" w14:textId="77777777" w:rsidR="00E6006D" w:rsidRDefault="00E6006D" w:rsidP="00E6006D">
      <w:pPr>
        <w:spacing w:after="0" w:line="240" w:lineRule="auto"/>
      </w:pPr>
      <w:r>
        <w:separator/>
      </w:r>
    </w:p>
  </w:endnote>
  <w:endnote w:type="continuationSeparator" w:id="0">
    <w:p w14:paraId="3DA4628D" w14:textId="77777777" w:rsidR="00E6006D" w:rsidRDefault="00E6006D" w:rsidP="00E600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D5C3D8" w14:textId="77777777" w:rsidR="00E6006D" w:rsidRDefault="00E6006D" w:rsidP="00E6006D">
      <w:pPr>
        <w:spacing w:after="0" w:line="240" w:lineRule="auto"/>
      </w:pPr>
      <w:r>
        <w:separator/>
      </w:r>
    </w:p>
  </w:footnote>
  <w:footnote w:type="continuationSeparator" w:id="0">
    <w:p w14:paraId="0E028DDC" w14:textId="77777777" w:rsidR="00E6006D" w:rsidRDefault="00E6006D" w:rsidP="00E6006D">
      <w:pPr>
        <w:spacing w:after="0" w:line="240" w:lineRule="auto"/>
      </w:pPr>
      <w:r>
        <w:continuationSeparator/>
      </w:r>
    </w:p>
  </w:footnote>
  <w:footnote w:id="1">
    <w:p w14:paraId="5585549A" w14:textId="531937A5" w:rsidR="007576CF" w:rsidRPr="00BF7991" w:rsidRDefault="00100271" w:rsidP="002B2107">
      <w:pPr>
        <w:pStyle w:val="ListParagraph"/>
        <w:numPr>
          <w:ilvl w:val="0"/>
          <w:numId w:val="1"/>
        </w:numPr>
        <w:spacing w:after="0" w:line="240" w:lineRule="auto"/>
        <w:ind w:left="0" w:firstLine="720"/>
        <w:rPr>
          <w:rFonts w:ascii="Times New Roman" w:hAnsi="Times New Roman" w:cs="Times New Roman"/>
          <w:sz w:val="24"/>
          <w:szCs w:val="24"/>
        </w:rPr>
      </w:pPr>
      <w:r w:rsidRPr="00BF7991">
        <w:rPr>
          <w:rFonts w:ascii="Times New Roman" w:hAnsi="Times New Roman" w:cs="Times New Roman"/>
          <w:sz w:val="24"/>
          <w:szCs w:val="24"/>
        </w:rPr>
        <w:t xml:space="preserve">Alyssa M. </w:t>
      </w:r>
      <w:r w:rsidR="007576CF" w:rsidRPr="00BF7991">
        <w:rPr>
          <w:rFonts w:ascii="Times New Roman" w:hAnsi="Times New Roman" w:cs="Times New Roman"/>
          <w:sz w:val="24"/>
          <w:szCs w:val="24"/>
        </w:rPr>
        <w:t>Lederer</w:t>
      </w:r>
      <w:r w:rsidRPr="00BF7991">
        <w:rPr>
          <w:rFonts w:ascii="Times New Roman" w:hAnsi="Times New Roman" w:cs="Times New Roman"/>
          <w:sz w:val="24"/>
          <w:szCs w:val="24"/>
        </w:rPr>
        <w:t xml:space="preserve"> et al</w:t>
      </w:r>
      <w:r w:rsidR="007576CF" w:rsidRPr="00BF7991">
        <w:rPr>
          <w:rFonts w:ascii="Times New Roman" w:hAnsi="Times New Roman" w:cs="Times New Roman"/>
          <w:sz w:val="24"/>
          <w:szCs w:val="24"/>
        </w:rPr>
        <w:t xml:space="preserve">. “More than Inconvenienced: The Unique Needs of U.S. College Students During the COVID-19 Pandemic,” </w:t>
      </w:r>
      <w:r w:rsidR="007576CF" w:rsidRPr="00BF7991">
        <w:rPr>
          <w:rFonts w:ascii="Times New Roman" w:hAnsi="Times New Roman" w:cs="Times New Roman"/>
          <w:i/>
          <w:iCs/>
          <w:sz w:val="24"/>
          <w:szCs w:val="24"/>
        </w:rPr>
        <w:t>Health and Education Behavior</w:t>
      </w:r>
      <w:r w:rsidR="007576CF" w:rsidRPr="00BF7991">
        <w:rPr>
          <w:rFonts w:ascii="Times New Roman" w:hAnsi="Times New Roman" w:cs="Times New Roman"/>
          <w:sz w:val="24"/>
          <w:szCs w:val="24"/>
        </w:rPr>
        <w:t xml:space="preserve"> 48, no. 1 (2020); 14-19, https://doi.org/10.1177/1090198120969372.</w:t>
      </w:r>
    </w:p>
    <w:p w14:paraId="3CD32B22" w14:textId="22B6843D" w:rsidR="007576CF" w:rsidRPr="00BF7991" w:rsidRDefault="007576CF" w:rsidP="00F250A0">
      <w:pPr>
        <w:pStyle w:val="FootnoteText"/>
        <w:rPr>
          <w:rFonts w:ascii="Times New Roman" w:hAnsi="Times New Roman" w:cs="Times New Roman"/>
          <w:sz w:val="24"/>
          <w:szCs w:val="24"/>
        </w:rPr>
      </w:pPr>
    </w:p>
  </w:footnote>
  <w:footnote w:id="2">
    <w:p w14:paraId="5959B188" w14:textId="21A3A5EB" w:rsidR="00FD3D45" w:rsidRPr="00BF7991" w:rsidRDefault="00F250A0" w:rsidP="00FD3D45">
      <w:pPr>
        <w:spacing w:after="0" w:line="240" w:lineRule="auto"/>
        <w:ind w:firstLine="720"/>
        <w:rPr>
          <w:rFonts w:ascii="Times New Roman" w:hAnsi="Times New Roman" w:cs="Times New Roman"/>
          <w:sz w:val="24"/>
          <w:szCs w:val="24"/>
        </w:rPr>
      </w:pPr>
      <w:r w:rsidRPr="00BF7991">
        <w:rPr>
          <w:rFonts w:ascii="Times New Roman" w:hAnsi="Times New Roman" w:cs="Times New Roman"/>
          <w:sz w:val="24"/>
          <w:szCs w:val="24"/>
        </w:rPr>
        <w:footnoteRef/>
      </w:r>
      <w:r w:rsidR="003E3D96" w:rsidRPr="00BF7991">
        <w:rPr>
          <w:rFonts w:ascii="Times New Roman" w:hAnsi="Times New Roman" w:cs="Times New Roman"/>
          <w:sz w:val="24"/>
          <w:szCs w:val="24"/>
        </w:rPr>
        <w:t>.</w:t>
      </w:r>
      <w:r w:rsidRPr="00BF7991">
        <w:rPr>
          <w:rFonts w:ascii="Times New Roman" w:hAnsi="Times New Roman" w:cs="Times New Roman"/>
          <w:sz w:val="24"/>
          <w:szCs w:val="24"/>
        </w:rPr>
        <w:t xml:space="preserve"> </w:t>
      </w:r>
      <w:r w:rsidR="00FD3D45" w:rsidRPr="00BF7991">
        <w:rPr>
          <w:rFonts w:ascii="Times New Roman" w:hAnsi="Times New Roman" w:cs="Times New Roman"/>
          <w:sz w:val="24"/>
          <w:szCs w:val="24"/>
        </w:rPr>
        <w:t>Eleonora</w:t>
      </w:r>
      <w:r w:rsidR="00FD3D45" w:rsidRPr="00BF7991">
        <w:rPr>
          <w:rFonts w:ascii="Times New Roman" w:hAnsi="Times New Roman" w:cs="Times New Roman"/>
          <w:sz w:val="24"/>
          <w:szCs w:val="24"/>
        </w:rPr>
        <w:t xml:space="preserve"> </w:t>
      </w:r>
      <w:proofErr w:type="spellStart"/>
      <w:r w:rsidR="00FD3D45" w:rsidRPr="00BF7991">
        <w:rPr>
          <w:rFonts w:ascii="Times New Roman" w:hAnsi="Times New Roman" w:cs="Times New Roman"/>
          <w:sz w:val="24"/>
          <w:szCs w:val="24"/>
        </w:rPr>
        <w:t>Iob</w:t>
      </w:r>
      <w:proofErr w:type="spellEnd"/>
      <w:r w:rsidR="00FD3D45" w:rsidRPr="00BF7991">
        <w:rPr>
          <w:rFonts w:ascii="Times New Roman" w:hAnsi="Times New Roman" w:cs="Times New Roman"/>
          <w:sz w:val="24"/>
          <w:szCs w:val="24"/>
        </w:rPr>
        <w:t xml:space="preserve">, Andrew Steptoe, and Daisy Fancourt. “Abuse, Self-Harm and Suicidal Ideation in the UK During the COVID-19 Pandemic.” </w:t>
      </w:r>
      <w:r w:rsidR="00FD3D45" w:rsidRPr="00BF7991">
        <w:rPr>
          <w:rFonts w:ascii="Times New Roman" w:hAnsi="Times New Roman" w:cs="Times New Roman"/>
          <w:i/>
          <w:iCs/>
          <w:sz w:val="24"/>
          <w:szCs w:val="24"/>
        </w:rPr>
        <w:t>British Journal of Psychiatry</w:t>
      </w:r>
      <w:r w:rsidR="00FD3D45" w:rsidRPr="00BF7991">
        <w:rPr>
          <w:rFonts w:ascii="Times New Roman" w:hAnsi="Times New Roman" w:cs="Times New Roman"/>
          <w:sz w:val="24"/>
          <w:szCs w:val="24"/>
        </w:rPr>
        <w:t xml:space="preserve"> 217, no. 4 (2020); 543-546, htttps://doi.org/ 10.1192/bjp.2020.130.</w:t>
      </w:r>
      <w:r w:rsidR="00C319CB" w:rsidRPr="00BF7991">
        <w:rPr>
          <w:rFonts w:ascii="Times New Roman" w:hAnsi="Times New Roman" w:cs="Times New Roman"/>
          <w:sz w:val="24"/>
          <w:szCs w:val="24"/>
        </w:rPr>
        <w:t xml:space="preserve"> They found that</w:t>
      </w:r>
      <w:r w:rsidR="003E3D96" w:rsidRPr="00BF7991">
        <w:rPr>
          <w:rFonts w:ascii="Times New Roman" w:hAnsi="Times New Roman" w:cs="Times New Roman"/>
          <w:sz w:val="24"/>
          <w:szCs w:val="24"/>
        </w:rPr>
        <w:t xml:space="preserve"> </w:t>
      </w:r>
      <w:r w:rsidR="00C319CB" w:rsidRPr="00BF7991">
        <w:rPr>
          <w:rFonts w:ascii="Times New Roman" w:hAnsi="Times New Roman" w:cs="Times New Roman"/>
          <w:sz w:val="24"/>
          <w:szCs w:val="24"/>
        </w:rPr>
        <w:t>people with disabilities were twice as likely to report thoughts of self-harm and three times as likely to engage in self-harm behaviors</w:t>
      </w:r>
      <w:r w:rsidR="003E3D96" w:rsidRPr="00BF7991">
        <w:rPr>
          <w:rFonts w:ascii="Times New Roman" w:hAnsi="Times New Roman" w:cs="Times New Roman"/>
          <w:sz w:val="24"/>
          <w:szCs w:val="24"/>
        </w:rPr>
        <w:t>.</w:t>
      </w:r>
    </w:p>
    <w:p w14:paraId="7839039E" w14:textId="60FC81CD" w:rsidR="00F250A0" w:rsidRPr="00BF7991" w:rsidRDefault="00F250A0" w:rsidP="00F250A0">
      <w:pPr>
        <w:pStyle w:val="FootnoteText"/>
        <w:ind w:firstLine="720"/>
        <w:rPr>
          <w:rFonts w:ascii="Times New Roman" w:hAnsi="Times New Roman" w:cs="Times New Roman"/>
          <w:sz w:val="24"/>
          <w:szCs w:val="24"/>
        </w:rPr>
      </w:pPr>
    </w:p>
  </w:footnote>
  <w:footnote w:id="3">
    <w:p w14:paraId="50636794" w14:textId="596DEB87" w:rsidR="00634FEE" w:rsidRPr="00BF7991" w:rsidRDefault="003E3D96" w:rsidP="00634FEE">
      <w:pPr>
        <w:spacing w:after="0" w:line="240" w:lineRule="auto"/>
        <w:ind w:firstLine="720"/>
        <w:rPr>
          <w:rFonts w:ascii="Times New Roman" w:hAnsi="Times New Roman" w:cs="Times New Roman"/>
          <w:sz w:val="24"/>
          <w:szCs w:val="24"/>
        </w:rPr>
      </w:pPr>
      <w:r w:rsidRPr="00BF7991">
        <w:rPr>
          <w:rFonts w:ascii="Times New Roman" w:hAnsi="Times New Roman" w:cs="Times New Roman"/>
          <w:sz w:val="24"/>
          <w:szCs w:val="24"/>
        </w:rPr>
        <w:footnoteRef/>
      </w:r>
      <w:r w:rsidRPr="00BF7991">
        <w:rPr>
          <w:rFonts w:ascii="Times New Roman" w:hAnsi="Times New Roman" w:cs="Times New Roman"/>
          <w:sz w:val="24"/>
          <w:szCs w:val="24"/>
        </w:rPr>
        <w:t xml:space="preserve">. </w:t>
      </w:r>
      <w:r w:rsidR="00634FEE" w:rsidRPr="00BF7991">
        <w:rPr>
          <w:rFonts w:ascii="Times New Roman" w:hAnsi="Times New Roman" w:cs="Times New Roman"/>
          <w:sz w:val="24"/>
          <w:szCs w:val="24"/>
        </w:rPr>
        <w:t>Ken W</w:t>
      </w:r>
      <w:r w:rsidR="00634FEE" w:rsidRPr="00BF7991">
        <w:rPr>
          <w:rFonts w:ascii="Times New Roman" w:hAnsi="Times New Roman" w:cs="Times New Roman"/>
          <w:sz w:val="24"/>
          <w:szCs w:val="24"/>
        </w:rPr>
        <w:t>ang</w:t>
      </w:r>
      <w:r w:rsidR="00634FEE" w:rsidRPr="00BF7991">
        <w:rPr>
          <w:rFonts w:ascii="Times New Roman" w:hAnsi="Times New Roman" w:cs="Times New Roman"/>
          <w:sz w:val="24"/>
          <w:szCs w:val="24"/>
        </w:rPr>
        <w:t xml:space="preserve"> et al</w:t>
      </w:r>
      <w:r w:rsidR="00634FEE" w:rsidRPr="00BF7991">
        <w:rPr>
          <w:rFonts w:ascii="Times New Roman" w:hAnsi="Times New Roman" w:cs="Times New Roman"/>
          <w:sz w:val="24"/>
          <w:szCs w:val="24"/>
        </w:rPr>
        <w:t xml:space="preserve">. “Predicting Depression and Anxiety Among Adults With Disabilities During the COVID-19 Pandemic,” </w:t>
      </w:r>
      <w:r w:rsidR="00634FEE" w:rsidRPr="00BF7991">
        <w:rPr>
          <w:rFonts w:ascii="Times New Roman" w:hAnsi="Times New Roman" w:cs="Times New Roman"/>
          <w:i/>
          <w:iCs/>
          <w:sz w:val="24"/>
          <w:szCs w:val="24"/>
        </w:rPr>
        <w:t xml:space="preserve">Rehabilitation Psychology, </w:t>
      </w:r>
      <w:r w:rsidR="00634FEE" w:rsidRPr="00BF7991">
        <w:rPr>
          <w:rFonts w:ascii="Times New Roman" w:hAnsi="Times New Roman" w:cs="Times New Roman"/>
          <w:sz w:val="24"/>
          <w:szCs w:val="24"/>
        </w:rPr>
        <w:t xml:space="preserve">Advanced online publication (2022); </w:t>
      </w:r>
      <w:r w:rsidR="00FD79B0" w:rsidRPr="00BF7991">
        <w:rPr>
          <w:rFonts w:ascii="Times New Roman" w:hAnsi="Times New Roman" w:cs="Times New Roman"/>
          <w:sz w:val="24"/>
          <w:szCs w:val="24"/>
        </w:rPr>
        <w:t>8</w:t>
      </w:r>
      <w:r w:rsidR="00634FEE" w:rsidRPr="00BF7991">
        <w:rPr>
          <w:rFonts w:ascii="Times New Roman" w:hAnsi="Times New Roman" w:cs="Times New Roman"/>
          <w:sz w:val="24"/>
          <w:szCs w:val="24"/>
        </w:rPr>
        <w:t>, http://dx.doi.org/10.1037/rep0000434</w:t>
      </w:r>
      <w:r w:rsidR="00634FEE" w:rsidRPr="00BF7991">
        <w:rPr>
          <w:rFonts w:ascii="Times New Roman" w:hAnsi="Times New Roman" w:cs="Times New Roman"/>
          <w:sz w:val="24"/>
          <w:szCs w:val="24"/>
        </w:rPr>
        <w:t>.</w:t>
      </w:r>
    </w:p>
    <w:p w14:paraId="34300F26" w14:textId="10897767" w:rsidR="003E3D96" w:rsidRPr="00BF7991" w:rsidRDefault="003E3D96">
      <w:pPr>
        <w:pStyle w:val="FootnoteText"/>
        <w:rPr>
          <w:rFonts w:ascii="Times New Roman" w:hAnsi="Times New Roman" w:cs="Times New Roman"/>
          <w:sz w:val="24"/>
          <w:szCs w:val="24"/>
        </w:rPr>
      </w:pPr>
    </w:p>
  </w:footnote>
  <w:footnote w:id="4">
    <w:p w14:paraId="4A26733E" w14:textId="3308AF32" w:rsidR="00BF7991" w:rsidRPr="00BF7991" w:rsidRDefault="00BF7991" w:rsidP="00BF7991">
      <w:pPr>
        <w:spacing w:after="0" w:line="240" w:lineRule="auto"/>
        <w:ind w:firstLine="720"/>
        <w:rPr>
          <w:rFonts w:ascii="Times New Roman" w:hAnsi="Times New Roman" w:cs="Times New Roman"/>
          <w:sz w:val="24"/>
          <w:szCs w:val="24"/>
        </w:rPr>
      </w:pPr>
      <w:r w:rsidRPr="00BF7991">
        <w:rPr>
          <w:rFonts w:ascii="Times New Roman" w:hAnsi="Times New Roman" w:cs="Times New Roman"/>
          <w:sz w:val="24"/>
          <w:szCs w:val="24"/>
        </w:rPr>
        <w:footnoteRef/>
      </w:r>
      <w:r w:rsidRPr="00BF7991">
        <w:rPr>
          <w:rFonts w:ascii="Times New Roman" w:hAnsi="Times New Roman" w:cs="Times New Roman"/>
          <w:sz w:val="24"/>
          <w:szCs w:val="24"/>
        </w:rPr>
        <w:t xml:space="preserve">. Lisa A. </w:t>
      </w:r>
      <w:r w:rsidRPr="00BF7991">
        <w:rPr>
          <w:rFonts w:ascii="Times New Roman" w:hAnsi="Times New Roman" w:cs="Times New Roman"/>
          <w:sz w:val="24"/>
          <w:szCs w:val="24"/>
        </w:rPr>
        <w:t xml:space="preserve">Schur, Mason Ameri, and Douglas Kruse. “Telework After COVID: A ‘Silver Lining’ for Workers with Disabilities?” </w:t>
      </w:r>
      <w:r w:rsidRPr="00BF7991">
        <w:rPr>
          <w:rFonts w:ascii="Times New Roman" w:hAnsi="Times New Roman" w:cs="Times New Roman"/>
          <w:i/>
          <w:iCs/>
          <w:sz w:val="24"/>
          <w:szCs w:val="24"/>
        </w:rPr>
        <w:t>Journal of Occupational Rehabilitation</w:t>
      </w:r>
      <w:r w:rsidRPr="00BF7991">
        <w:rPr>
          <w:rFonts w:ascii="Times New Roman" w:hAnsi="Times New Roman" w:cs="Times New Roman"/>
          <w:sz w:val="24"/>
          <w:szCs w:val="24"/>
        </w:rPr>
        <w:t xml:space="preserve"> 30, no. 4 (2020); 521-536, Accessed February 25, 2022, https://doi.org/10.1007/s10926-020-09936-5.</w:t>
      </w:r>
    </w:p>
    <w:p w14:paraId="74AEBC86" w14:textId="401FF388" w:rsidR="00BF7991" w:rsidRPr="00BF7991" w:rsidRDefault="00BF7991">
      <w:pPr>
        <w:pStyle w:val="FootnoteText"/>
        <w:rPr>
          <w:rFonts w:ascii="Times New Roman" w:hAnsi="Times New Roman" w:cs="Times New Roman"/>
          <w:sz w:val="24"/>
          <w:szCs w:val="24"/>
        </w:rPr>
      </w:pPr>
    </w:p>
  </w:footnote>
  <w:footnote w:id="5">
    <w:p w14:paraId="36A55F83" w14:textId="5D96731A" w:rsidR="00BF7991" w:rsidRPr="00BF7991" w:rsidRDefault="00BF7991" w:rsidP="00BF7991">
      <w:pPr>
        <w:spacing w:after="0" w:line="240" w:lineRule="auto"/>
        <w:ind w:firstLine="720"/>
        <w:rPr>
          <w:rFonts w:ascii="Times New Roman" w:hAnsi="Times New Roman" w:cs="Times New Roman"/>
          <w:sz w:val="24"/>
          <w:szCs w:val="24"/>
        </w:rPr>
      </w:pPr>
      <w:r w:rsidRPr="00BF7991">
        <w:rPr>
          <w:rStyle w:val="FootnoteReference"/>
          <w:rFonts w:ascii="Times New Roman" w:hAnsi="Times New Roman" w:cs="Times New Roman"/>
          <w:sz w:val="24"/>
          <w:szCs w:val="24"/>
          <w:vertAlign w:val="baseline"/>
        </w:rPr>
        <w:footnoteRef/>
      </w:r>
      <w:r w:rsidRPr="00BF7991">
        <w:rPr>
          <w:rFonts w:ascii="Times New Roman" w:hAnsi="Times New Roman" w:cs="Times New Roman"/>
          <w:sz w:val="24"/>
          <w:szCs w:val="24"/>
        </w:rPr>
        <w:t xml:space="preserve">. Pamela </w:t>
      </w:r>
      <w:r w:rsidRPr="00BF7991">
        <w:rPr>
          <w:rFonts w:ascii="Times New Roman" w:hAnsi="Times New Roman" w:cs="Times New Roman"/>
          <w:sz w:val="24"/>
          <w:szCs w:val="24"/>
        </w:rPr>
        <w:t>Bloc</w:t>
      </w:r>
      <w:r w:rsidRPr="00BF7991">
        <w:rPr>
          <w:rFonts w:ascii="Times New Roman" w:hAnsi="Times New Roman" w:cs="Times New Roman"/>
          <w:sz w:val="24"/>
          <w:szCs w:val="24"/>
        </w:rPr>
        <w:t>k et al</w:t>
      </w:r>
      <w:r w:rsidRPr="00BF7991">
        <w:rPr>
          <w:rFonts w:ascii="Times New Roman" w:hAnsi="Times New Roman" w:cs="Times New Roman"/>
          <w:sz w:val="24"/>
          <w:szCs w:val="24"/>
        </w:rPr>
        <w:t xml:space="preserve">. “Introduction to the Special Issue: Disability and Covid-19.” </w:t>
      </w:r>
      <w:r w:rsidRPr="00BF7991">
        <w:rPr>
          <w:rFonts w:ascii="Times New Roman" w:hAnsi="Times New Roman" w:cs="Times New Roman"/>
          <w:i/>
          <w:iCs/>
          <w:sz w:val="24"/>
          <w:szCs w:val="24"/>
        </w:rPr>
        <w:t>Disability Studies Quarterly</w:t>
      </w:r>
      <w:r w:rsidRPr="00BF7991">
        <w:rPr>
          <w:rFonts w:ascii="Times New Roman" w:hAnsi="Times New Roman" w:cs="Times New Roman"/>
          <w:sz w:val="24"/>
          <w:szCs w:val="24"/>
        </w:rPr>
        <w:t xml:space="preserve"> 41, no. 3 (2021). Accessed February 25, 2022. https://dsq-sds.org/article/view/8440/6204.</w:t>
      </w:r>
    </w:p>
    <w:p w14:paraId="246523D4" w14:textId="014DE5A2" w:rsidR="00BF7991" w:rsidRPr="00BF7991" w:rsidRDefault="00BF7991">
      <w:pPr>
        <w:pStyle w:val="FootnoteText"/>
        <w:rPr>
          <w:rFonts w:ascii="Times New Roman" w:hAnsi="Times New Roman" w:cs="Times New Roman"/>
          <w:sz w:val="24"/>
          <w:szCs w:val="24"/>
        </w:rPr>
      </w:pPr>
    </w:p>
  </w:footnote>
  <w:footnote w:id="6">
    <w:p w14:paraId="5DC4CDD0" w14:textId="3C3DEF21" w:rsidR="00BF7991" w:rsidRPr="00BF7991" w:rsidRDefault="00BF7991" w:rsidP="003C3F61">
      <w:pPr>
        <w:spacing w:after="0" w:line="240" w:lineRule="auto"/>
        <w:ind w:firstLine="720"/>
        <w:rPr>
          <w:rFonts w:ascii="Times New Roman" w:hAnsi="Times New Roman" w:cs="Times New Roman"/>
          <w:sz w:val="24"/>
          <w:szCs w:val="24"/>
        </w:rPr>
      </w:pPr>
      <w:r w:rsidRPr="00BF7991">
        <w:rPr>
          <w:rStyle w:val="FootnoteReference"/>
          <w:rFonts w:ascii="Times New Roman" w:hAnsi="Times New Roman" w:cs="Times New Roman"/>
          <w:sz w:val="24"/>
          <w:szCs w:val="24"/>
          <w:vertAlign w:val="baseline"/>
        </w:rPr>
        <w:footnoteRef/>
      </w:r>
      <w:r w:rsidRPr="00BF7991">
        <w:rPr>
          <w:rFonts w:ascii="Times New Roman" w:hAnsi="Times New Roman" w:cs="Times New Roman"/>
          <w:sz w:val="24"/>
          <w:szCs w:val="24"/>
        </w:rPr>
        <w:t xml:space="preserve">.  </w:t>
      </w:r>
      <w:r>
        <w:rPr>
          <w:rFonts w:ascii="Times New Roman" w:hAnsi="Times New Roman" w:cs="Times New Roman"/>
          <w:sz w:val="24"/>
          <w:szCs w:val="24"/>
        </w:rPr>
        <w:t xml:space="preserve">Jonathan </w:t>
      </w:r>
      <w:r w:rsidRPr="00BF7991">
        <w:rPr>
          <w:rFonts w:ascii="Times New Roman" w:hAnsi="Times New Roman" w:cs="Times New Roman"/>
          <w:sz w:val="24"/>
          <w:szCs w:val="24"/>
        </w:rPr>
        <w:t xml:space="preserve">Flowers. “COVID-19 and the Disinheritance of an Ableist World,” </w:t>
      </w:r>
      <w:r w:rsidRPr="00BF7991">
        <w:rPr>
          <w:rFonts w:ascii="Times New Roman" w:hAnsi="Times New Roman" w:cs="Times New Roman"/>
          <w:i/>
          <w:iCs/>
          <w:sz w:val="24"/>
          <w:szCs w:val="24"/>
        </w:rPr>
        <w:t>International Journal of Critical Diversity Studies</w:t>
      </w:r>
      <w:r w:rsidRPr="00BF7991">
        <w:rPr>
          <w:rFonts w:ascii="Times New Roman" w:hAnsi="Times New Roman" w:cs="Times New Roman"/>
          <w:sz w:val="24"/>
          <w:szCs w:val="24"/>
        </w:rPr>
        <w:t xml:space="preserve"> 4, no. 1 (2021); </w:t>
      </w:r>
      <w:r>
        <w:rPr>
          <w:rFonts w:ascii="Times New Roman" w:hAnsi="Times New Roman" w:cs="Times New Roman"/>
          <w:sz w:val="24"/>
          <w:szCs w:val="24"/>
        </w:rPr>
        <w:t>115-116</w:t>
      </w:r>
      <w:r w:rsidRPr="00BF7991">
        <w:rPr>
          <w:rFonts w:ascii="Times New Roman" w:hAnsi="Times New Roman" w:cs="Times New Roman"/>
          <w:sz w:val="24"/>
          <w:szCs w:val="24"/>
        </w:rPr>
        <w:t>, https://www.jstor.org/stable/10.13169/intecritdivestud.4.1.0107.</w:t>
      </w:r>
    </w:p>
    <w:p w14:paraId="0483947A" w14:textId="62189B9F" w:rsidR="00BF7991" w:rsidRPr="00BF7991" w:rsidRDefault="00BF7991">
      <w:pPr>
        <w:pStyle w:val="FootnoteText"/>
        <w:rPr>
          <w:rFonts w:ascii="Times New Roman" w:hAnsi="Times New Roman" w:cs="Times New Roman"/>
          <w:sz w:val="24"/>
          <w:szCs w:val="24"/>
        </w:rPr>
      </w:pPr>
    </w:p>
  </w:footnote>
  <w:footnote w:id="7">
    <w:p w14:paraId="49FDD4BA" w14:textId="3F45D343" w:rsidR="003C3F61" w:rsidRDefault="003C3F61" w:rsidP="003C3F61">
      <w:pPr>
        <w:spacing w:after="0" w:line="240" w:lineRule="auto"/>
        <w:ind w:firstLine="720"/>
        <w:rPr>
          <w:rFonts w:ascii="Times New Roman" w:hAnsi="Times New Roman" w:cs="Times New Roman"/>
          <w:sz w:val="24"/>
          <w:szCs w:val="24"/>
        </w:rPr>
      </w:pPr>
      <w:r w:rsidRPr="003C3F61">
        <w:rPr>
          <w:rStyle w:val="FootnoteReference"/>
          <w:rFonts w:ascii="Times New Roman" w:hAnsi="Times New Roman" w:cs="Times New Roman"/>
          <w:sz w:val="24"/>
          <w:szCs w:val="24"/>
          <w:vertAlign w:val="baseline"/>
        </w:rPr>
        <w:footnoteRef/>
      </w:r>
      <w:r>
        <w:rPr>
          <w:rFonts w:ascii="Times New Roman" w:hAnsi="Times New Roman" w:cs="Times New Roman"/>
          <w:sz w:val="24"/>
          <w:szCs w:val="24"/>
        </w:rPr>
        <w:t>.</w:t>
      </w:r>
      <w:r w:rsidRPr="003C3F61">
        <w:rPr>
          <w:rFonts w:ascii="Times New Roman" w:hAnsi="Times New Roman" w:cs="Times New Roman"/>
          <w:sz w:val="24"/>
          <w:szCs w:val="24"/>
        </w:rPr>
        <w:t xml:space="preserve"> </w:t>
      </w:r>
      <w:r>
        <w:rPr>
          <w:rFonts w:ascii="Times New Roman" w:hAnsi="Times New Roman" w:cs="Times New Roman"/>
          <w:sz w:val="24"/>
          <w:szCs w:val="24"/>
        </w:rPr>
        <w:t xml:space="preserve">Arlene Kaplan Daniels. “Invisible Work.” </w:t>
      </w:r>
      <w:r>
        <w:rPr>
          <w:rFonts w:ascii="Times New Roman" w:hAnsi="Times New Roman" w:cs="Times New Roman"/>
          <w:i/>
          <w:iCs/>
          <w:sz w:val="24"/>
          <w:szCs w:val="24"/>
        </w:rPr>
        <w:t>Social Problems</w:t>
      </w:r>
      <w:r>
        <w:rPr>
          <w:rFonts w:ascii="Times New Roman" w:hAnsi="Times New Roman" w:cs="Times New Roman"/>
          <w:sz w:val="24"/>
          <w:szCs w:val="24"/>
        </w:rPr>
        <w:t xml:space="preserve"> 34, no. 5 (1987): 403-415, </w:t>
      </w:r>
      <w:hyperlink r:id="rId1" w:history="1">
        <w:r w:rsidRPr="00A969BC">
          <w:rPr>
            <w:rStyle w:val="Hyperlink"/>
            <w:rFonts w:ascii="Times New Roman" w:hAnsi="Times New Roman" w:cs="Times New Roman"/>
            <w:sz w:val="24"/>
            <w:szCs w:val="24"/>
          </w:rPr>
          <w:t>https://www.jstor.org/stable/800538</w:t>
        </w:r>
      </w:hyperlink>
      <w:r w:rsidRPr="003C3F61">
        <w:rPr>
          <w:rFonts w:ascii="Times New Roman" w:hAnsi="Times New Roman" w:cs="Times New Roman"/>
          <w:sz w:val="24"/>
          <w:szCs w:val="24"/>
        </w:rPr>
        <w:t>.</w:t>
      </w:r>
      <w:r>
        <w:rPr>
          <w:rFonts w:ascii="Times New Roman" w:hAnsi="Times New Roman" w:cs="Times New Roman"/>
          <w:sz w:val="24"/>
          <w:szCs w:val="24"/>
        </w:rPr>
        <w:t xml:space="preserve"> </w:t>
      </w:r>
      <w:r w:rsidR="00C33A07">
        <w:rPr>
          <w:rFonts w:ascii="Times New Roman" w:hAnsi="Times New Roman" w:cs="Times New Roman"/>
          <w:sz w:val="24"/>
          <w:szCs w:val="24"/>
        </w:rPr>
        <w:t xml:space="preserve">Kaplan’s concept of “invisible work” critiques our </w:t>
      </w:r>
      <w:r w:rsidRPr="003C3F61">
        <w:rPr>
          <w:rFonts w:ascii="Times New Roman" w:hAnsi="Times New Roman" w:cs="Times New Roman"/>
          <w:sz w:val="24"/>
          <w:szCs w:val="24"/>
        </w:rPr>
        <w:t>social understanding of work as something that exists outside of the home and only valued as long as it relates to pay. The concept has also been applied to other forms of unpaid physical and emotional labor like that undertaken by disabled people to manage the emotions of non-disabled people and gain access to necessary resources.</w:t>
      </w:r>
    </w:p>
    <w:p w14:paraId="29D6B9BD" w14:textId="77777777" w:rsidR="003C3F61" w:rsidRDefault="003C3F61" w:rsidP="003C3F61">
      <w:pPr>
        <w:pStyle w:val="FootnoteText"/>
      </w:pPr>
    </w:p>
  </w:footnote>
  <w:footnote w:id="8">
    <w:p w14:paraId="1D654AE8" w14:textId="08F21DE2" w:rsidR="003C3F61" w:rsidRPr="003F75B8" w:rsidRDefault="003C3F61" w:rsidP="003C3F61">
      <w:pPr>
        <w:spacing w:after="0" w:line="240" w:lineRule="auto"/>
        <w:ind w:firstLine="720"/>
        <w:rPr>
          <w:rFonts w:ascii="Times New Roman" w:hAnsi="Times New Roman" w:cs="Times New Roman"/>
          <w:sz w:val="24"/>
          <w:szCs w:val="24"/>
        </w:rPr>
      </w:pPr>
      <w:r w:rsidRPr="003C3F61">
        <w:rPr>
          <w:rStyle w:val="FootnoteReference"/>
          <w:rFonts w:ascii="Times New Roman" w:hAnsi="Times New Roman" w:cs="Times New Roman"/>
          <w:sz w:val="24"/>
          <w:szCs w:val="24"/>
          <w:vertAlign w:val="baseline"/>
        </w:rPr>
        <w:footnoteRef/>
      </w:r>
      <w:r>
        <w:rPr>
          <w:rFonts w:ascii="Times New Roman" w:hAnsi="Times New Roman" w:cs="Times New Roman"/>
          <w:sz w:val="24"/>
          <w:szCs w:val="24"/>
        </w:rPr>
        <w:t xml:space="preserve">. </w:t>
      </w:r>
      <w:r>
        <w:rPr>
          <w:rFonts w:ascii="Times New Roman" w:hAnsi="Times New Roman" w:cs="Times New Roman"/>
          <w:sz w:val="24"/>
          <w:szCs w:val="24"/>
        </w:rPr>
        <w:t>Jan</w:t>
      </w:r>
      <w:r>
        <w:rPr>
          <w:rFonts w:ascii="Times New Roman" w:hAnsi="Times New Roman" w:cs="Times New Roman"/>
          <w:sz w:val="24"/>
          <w:szCs w:val="24"/>
        </w:rPr>
        <w:t xml:space="preserve"> Grue.</w:t>
      </w:r>
      <w:r>
        <w:rPr>
          <w:rFonts w:ascii="Times New Roman" w:hAnsi="Times New Roman" w:cs="Times New Roman"/>
          <w:sz w:val="24"/>
          <w:szCs w:val="24"/>
        </w:rPr>
        <w:t xml:space="preserve"> “The High Cost of Living in a Disabling World.” </w:t>
      </w:r>
      <w:r>
        <w:rPr>
          <w:rFonts w:ascii="Times New Roman" w:hAnsi="Times New Roman" w:cs="Times New Roman"/>
          <w:i/>
          <w:iCs/>
          <w:sz w:val="24"/>
          <w:szCs w:val="24"/>
        </w:rPr>
        <w:t>The Guardian</w:t>
      </w:r>
      <w:r>
        <w:rPr>
          <w:rFonts w:ascii="Times New Roman" w:hAnsi="Times New Roman" w:cs="Times New Roman"/>
          <w:sz w:val="24"/>
          <w:szCs w:val="24"/>
        </w:rPr>
        <w:t xml:space="preserve">, November 4, 2021, accessed February 25, 2022, </w:t>
      </w:r>
      <w:r w:rsidRPr="00A36694">
        <w:rPr>
          <w:rFonts w:ascii="Times New Roman" w:hAnsi="Times New Roman" w:cs="Times New Roman"/>
          <w:sz w:val="24"/>
          <w:szCs w:val="24"/>
        </w:rPr>
        <w:t>https://www.theguardian.com/society/2021/nov/04/the-high-cost-of-living-in-a-disabling-world</w:t>
      </w:r>
      <w:r>
        <w:rPr>
          <w:rFonts w:ascii="Times New Roman" w:hAnsi="Times New Roman" w:cs="Times New Roman"/>
          <w:sz w:val="24"/>
          <w:szCs w:val="24"/>
        </w:rPr>
        <w:t>.</w:t>
      </w:r>
    </w:p>
    <w:p w14:paraId="53489CB7" w14:textId="51F7643F" w:rsidR="003C3F61" w:rsidRPr="003C3F61" w:rsidRDefault="003C3F61">
      <w:pPr>
        <w:pStyle w:val="FootnoteText"/>
        <w:rPr>
          <w:rFonts w:ascii="Times New Roman" w:hAnsi="Times New Roman" w:cs="Times New Roman"/>
          <w:sz w:val="24"/>
          <w:szCs w:val="24"/>
        </w:rPr>
      </w:pPr>
    </w:p>
  </w:footnote>
  <w:footnote w:id="9">
    <w:p w14:paraId="1AFC3680" w14:textId="77777777" w:rsidR="003C3F61" w:rsidRPr="003C3F61" w:rsidRDefault="003C3F61" w:rsidP="003C3F61">
      <w:pPr>
        <w:spacing w:after="0" w:line="240" w:lineRule="auto"/>
        <w:ind w:firstLine="720"/>
        <w:rPr>
          <w:rFonts w:ascii="Times New Roman" w:hAnsi="Times New Roman" w:cs="Times New Roman"/>
          <w:sz w:val="24"/>
          <w:szCs w:val="24"/>
        </w:rPr>
      </w:pPr>
      <w:r w:rsidRPr="003C3F61">
        <w:rPr>
          <w:rStyle w:val="FootnoteReference"/>
          <w:rFonts w:ascii="Times New Roman" w:hAnsi="Times New Roman" w:cs="Times New Roman"/>
          <w:sz w:val="24"/>
          <w:szCs w:val="24"/>
          <w:vertAlign w:val="baseline"/>
        </w:rPr>
        <w:footnoteRef/>
      </w:r>
      <w:r w:rsidRPr="003C3F61">
        <w:rPr>
          <w:rFonts w:ascii="Times New Roman" w:hAnsi="Times New Roman" w:cs="Times New Roman"/>
          <w:sz w:val="24"/>
          <w:szCs w:val="24"/>
        </w:rPr>
        <w:t xml:space="preserve">.  </w:t>
      </w:r>
      <w:r w:rsidRPr="003C3F61">
        <w:rPr>
          <w:rFonts w:ascii="Times New Roman" w:hAnsi="Times New Roman" w:cs="Times New Roman"/>
          <w:sz w:val="24"/>
          <w:szCs w:val="24"/>
        </w:rPr>
        <w:t>Department of Labor. “Accommodations. Office of Disability Employment Policy. n.d. Accessed 25 February 2022, https://www.dol.gov/agencies/odep/program-areas/employers/accommodations#:~:text=Under%20Title%20I%20of%20the,done%20during%20the%20hiring%20process.</w:t>
      </w:r>
    </w:p>
    <w:p w14:paraId="4B066886" w14:textId="58C3958E" w:rsidR="003C3F61" w:rsidRPr="003C3F61" w:rsidRDefault="003C3F61">
      <w:pPr>
        <w:pStyle w:val="FootnoteText"/>
      </w:pPr>
    </w:p>
  </w:footnote>
  <w:footnote w:id="10">
    <w:p w14:paraId="533BC412" w14:textId="46D0D5E5" w:rsidR="00BA79D4" w:rsidRPr="00BA79D4" w:rsidRDefault="00BA79D4" w:rsidP="00BA79D4">
      <w:pPr>
        <w:spacing w:after="0" w:line="240" w:lineRule="auto"/>
        <w:ind w:firstLine="720"/>
        <w:rPr>
          <w:rFonts w:ascii="Times New Roman" w:hAnsi="Times New Roman" w:cs="Times New Roman"/>
          <w:sz w:val="24"/>
          <w:szCs w:val="24"/>
        </w:rPr>
      </w:pPr>
      <w:r w:rsidRPr="00BA79D4">
        <w:rPr>
          <w:rStyle w:val="FootnoteReference"/>
          <w:rFonts w:ascii="Times New Roman" w:hAnsi="Times New Roman" w:cs="Times New Roman"/>
          <w:sz w:val="24"/>
          <w:szCs w:val="24"/>
          <w:vertAlign w:val="baseline"/>
        </w:rPr>
        <w:footnoteRef/>
      </w:r>
      <w:r w:rsidRPr="00BA79D4">
        <w:rPr>
          <w:rFonts w:ascii="Times New Roman" w:hAnsi="Times New Roman" w:cs="Times New Roman"/>
          <w:sz w:val="24"/>
          <w:szCs w:val="24"/>
        </w:rPr>
        <w:t xml:space="preserve">. Bess </w:t>
      </w:r>
      <w:r w:rsidRPr="00BA79D4">
        <w:rPr>
          <w:rFonts w:ascii="Times New Roman" w:hAnsi="Times New Roman" w:cs="Times New Roman"/>
          <w:sz w:val="24"/>
          <w:szCs w:val="24"/>
        </w:rPr>
        <w:t xml:space="preserve">Williamson. “Access,” in </w:t>
      </w:r>
      <w:r w:rsidRPr="00BA79D4">
        <w:rPr>
          <w:rFonts w:ascii="Times New Roman" w:hAnsi="Times New Roman" w:cs="Times New Roman"/>
          <w:i/>
          <w:iCs/>
          <w:sz w:val="24"/>
          <w:szCs w:val="24"/>
        </w:rPr>
        <w:t>Keywords for Disability Studies</w:t>
      </w:r>
      <w:r w:rsidRPr="00BA79D4">
        <w:rPr>
          <w:rFonts w:ascii="Times New Roman" w:hAnsi="Times New Roman" w:cs="Times New Roman"/>
          <w:sz w:val="24"/>
          <w:szCs w:val="24"/>
        </w:rPr>
        <w:t>, edited by Rachel Adams, Benjamin, Reiss, and David Serlin, 14. New York: NYU Press, 2015. Accessed February 25, 2022. https://keywords.nyupress.org/disability-studies/essay/access/.</w:t>
      </w:r>
    </w:p>
    <w:p w14:paraId="4BDAD4C8" w14:textId="36DDCBC5" w:rsidR="00BA79D4" w:rsidRDefault="00BA79D4">
      <w:pPr>
        <w:pStyle w:val="FootnoteText"/>
      </w:pPr>
    </w:p>
  </w:footnote>
  <w:footnote w:id="11">
    <w:p w14:paraId="12F136EB" w14:textId="3DAABB7C" w:rsidR="00C24C45" w:rsidRDefault="00C24C45" w:rsidP="002549B4">
      <w:pPr>
        <w:spacing w:after="0" w:line="240" w:lineRule="auto"/>
        <w:ind w:left="720" w:hanging="720"/>
        <w:rPr>
          <w:rFonts w:ascii="Times New Roman" w:hAnsi="Times New Roman" w:cs="Times New Roman"/>
          <w:sz w:val="24"/>
          <w:szCs w:val="24"/>
        </w:rPr>
      </w:pPr>
      <w:r w:rsidRPr="00926472">
        <w:rPr>
          <w:rFonts w:ascii="Times New Roman" w:hAnsi="Times New Roman" w:cs="Times New Roman"/>
          <w:sz w:val="24"/>
          <w:szCs w:val="24"/>
        </w:rPr>
        <w:footnoteRef/>
      </w:r>
      <w:r w:rsidR="00926472">
        <w:rPr>
          <w:rFonts w:ascii="Times New Roman" w:hAnsi="Times New Roman" w:cs="Times New Roman"/>
          <w:sz w:val="24"/>
          <w:szCs w:val="24"/>
        </w:rPr>
        <w:t>.</w:t>
      </w:r>
      <w:r w:rsidRPr="00926472">
        <w:rPr>
          <w:rFonts w:ascii="Times New Roman" w:hAnsi="Times New Roman" w:cs="Times New Roman"/>
          <w:sz w:val="24"/>
          <w:szCs w:val="24"/>
        </w:rPr>
        <w:t xml:space="preserve"> </w:t>
      </w:r>
      <w:r w:rsidR="002549B4">
        <w:rPr>
          <w:rFonts w:ascii="Times New Roman" w:hAnsi="Times New Roman" w:cs="Times New Roman"/>
          <w:sz w:val="24"/>
          <w:szCs w:val="24"/>
        </w:rPr>
        <w:t xml:space="preserve">Disability Resource Center, “Annual Report 2020-2021,” Purdue University, n.d., Accessed February 25, 2022, </w:t>
      </w:r>
      <w:r w:rsidR="002549B4" w:rsidRPr="002549B4">
        <w:rPr>
          <w:rFonts w:ascii="Times New Roman" w:hAnsi="Times New Roman" w:cs="Times New Roman"/>
          <w:sz w:val="24"/>
          <w:szCs w:val="24"/>
        </w:rPr>
        <w:t>https://www.purdue.edu/drc/about/report.php</w:t>
      </w:r>
      <w:r w:rsidR="002549B4">
        <w:rPr>
          <w:rFonts w:ascii="Times New Roman" w:hAnsi="Times New Roman" w:cs="Times New Roman"/>
          <w:sz w:val="24"/>
          <w:szCs w:val="24"/>
        </w:rPr>
        <w:t>.</w:t>
      </w:r>
      <w:r w:rsidR="002549B4">
        <w:rPr>
          <w:rFonts w:ascii="Times New Roman" w:hAnsi="Times New Roman" w:cs="Times New Roman"/>
          <w:sz w:val="24"/>
          <w:szCs w:val="24"/>
        </w:rPr>
        <w:t xml:space="preserve"> </w:t>
      </w:r>
      <w:r w:rsidR="002E5068" w:rsidRPr="00926472">
        <w:rPr>
          <w:rFonts w:ascii="Times New Roman" w:hAnsi="Times New Roman" w:cs="Times New Roman"/>
          <w:sz w:val="24"/>
          <w:szCs w:val="24"/>
        </w:rPr>
        <w:t>The DRC at Purdue</w:t>
      </w:r>
      <w:r w:rsidR="00515570">
        <w:rPr>
          <w:rFonts w:ascii="Times New Roman" w:hAnsi="Times New Roman" w:cs="Times New Roman"/>
          <w:sz w:val="24"/>
          <w:szCs w:val="24"/>
        </w:rPr>
        <w:t xml:space="preserve"> </w:t>
      </w:r>
      <w:r w:rsidR="002E5068" w:rsidRPr="00926472">
        <w:rPr>
          <w:rFonts w:ascii="Times New Roman" w:hAnsi="Times New Roman" w:cs="Times New Roman"/>
          <w:sz w:val="24"/>
          <w:szCs w:val="24"/>
        </w:rPr>
        <w:t xml:space="preserve">saw a 16% increase in students requesting </w:t>
      </w:r>
      <w:r w:rsidR="00926472" w:rsidRPr="00926472">
        <w:rPr>
          <w:rFonts w:ascii="Times New Roman" w:hAnsi="Times New Roman" w:cs="Times New Roman"/>
          <w:sz w:val="24"/>
          <w:szCs w:val="24"/>
        </w:rPr>
        <w:t>accommodations</w:t>
      </w:r>
      <w:r w:rsidR="002E5068" w:rsidRPr="00926472">
        <w:rPr>
          <w:rFonts w:ascii="Times New Roman" w:hAnsi="Times New Roman" w:cs="Times New Roman"/>
          <w:sz w:val="24"/>
          <w:szCs w:val="24"/>
        </w:rPr>
        <w:t xml:space="preserve"> between AY</w:t>
      </w:r>
      <w:r w:rsidR="00926472" w:rsidRPr="00926472">
        <w:rPr>
          <w:rFonts w:ascii="Times New Roman" w:hAnsi="Times New Roman" w:cs="Times New Roman"/>
          <w:sz w:val="24"/>
          <w:szCs w:val="24"/>
        </w:rPr>
        <w:t xml:space="preserve"> </w:t>
      </w:r>
      <w:r w:rsidR="002E5068" w:rsidRPr="00926472">
        <w:rPr>
          <w:rFonts w:ascii="Times New Roman" w:hAnsi="Times New Roman" w:cs="Times New Roman"/>
          <w:sz w:val="24"/>
          <w:szCs w:val="24"/>
        </w:rPr>
        <w:t>1</w:t>
      </w:r>
      <w:r w:rsidR="00926472" w:rsidRPr="00926472">
        <w:rPr>
          <w:rFonts w:ascii="Times New Roman" w:hAnsi="Times New Roman" w:cs="Times New Roman"/>
          <w:sz w:val="24"/>
          <w:szCs w:val="24"/>
        </w:rPr>
        <w:t>8-19 and AY 19-20</w:t>
      </w:r>
      <w:r w:rsidR="00B95D88">
        <w:rPr>
          <w:rFonts w:ascii="Times New Roman" w:hAnsi="Times New Roman" w:cs="Times New Roman"/>
          <w:sz w:val="24"/>
          <w:szCs w:val="24"/>
        </w:rPr>
        <w:t>. While there was not an increase between AY 19-20 and AY 20-21, the office anticipates higher numbers in their AY 21-22 report.</w:t>
      </w:r>
    </w:p>
    <w:p w14:paraId="1B1641DC" w14:textId="77777777" w:rsidR="00B95D88" w:rsidRDefault="00B95D88" w:rsidP="00B95D88">
      <w:pPr>
        <w:pStyle w:val="FootnoteText"/>
        <w:ind w:firstLine="720"/>
      </w:pPr>
    </w:p>
  </w:footnote>
  <w:footnote w:id="12">
    <w:p w14:paraId="0BE7E535" w14:textId="7344EDCA" w:rsidR="00EB754E" w:rsidRPr="00EB754E" w:rsidRDefault="00EB754E" w:rsidP="007A28CB">
      <w:pPr>
        <w:spacing w:after="0" w:line="240" w:lineRule="auto"/>
        <w:ind w:firstLine="720"/>
        <w:rPr>
          <w:rFonts w:ascii="Times New Roman" w:hAnsi="Times New Roman" w:cs="Times New Roman"/>
          <w:sz w:val="24"/>
          <w:szCs w:val="24"/>
        </w:rPr>
      </w:pPr>
      <w:r w:rsidRPr="00EB754E">
        <w:rPr>
          <w:rStyle w:val="FootnoteReference"/>
          <w:rFonts w:ascii="Times New Roman" w:hAnsi="Times New Roman" w:cs="Times New Roman"/>
          <w:sz w:val="24"/>
          <w:szCs w:val="24"/>
          <w:vertAlign w:val="baseline"/>
        </w:rPr>
        <w:footnoteRef/>
      </w:r>
      <w:r>
        <w:rPr>
          <w:rFonts w:ascii="Times New Roman" w:hAnsi="Times New Roman" w:cs="Times New Roman"/>
          <w:sz w:val="24"/>
          <w:szCs w:val="24"/>
        </w:rPr>
        <w:t>.</w:t>
      </w:r>
      <w:r w:rsidRPr="00EB754E">
        <w:rPr>
          <w:rFonts w:ascii="Times New Roman" w:hAnsi="Times New Roman" w:cs="Times New Roman"/>
          <w:sz w:val="24"/>
          <w:szCs w:val="24"/>
        </w:rPr>
        <w:t xml:space="preserve"> Stacy </w:t>
      </w:r>
      <w:r w:rsidRPr="00EB754E">
        <w:rPr>
          <w:rFonts w:ascii="Times New Roman" w:hAnsi="Times New Roman" w:cs="Times New Roman"/>
          <w:sz w:val="24"/>
          <w:szCs w:val="24"/>
        </w:rPr>
        <w:t>Weiner. “What Happens to Telemedicine after COVID-19?” Association of American Medical Colleges. Last modified October 21, 2021, https://www.aamc.org/news-insights/what-happens-telemedicine-after-covid-19.</w:t>
      </w:r>
    </w:p>
    <w:p w14:paraId="1C2D10E7" w14:textId="5A50EA42" w:rsidR="00EB754E" w:rsidRDefault="00EB754E" w:rsidP="007A28CB">
      <w:pPr>
        <w:pStyle w:val="FootnoteText"/>
        <w:ind w:firstLine="720"/>
      </w:pPr>
    </w:p>
  </w:footnote>
  <w:footnote w:id="13">
    <w:p w14:paraId="4A3EFA0D" w14:textId="6FB82409" w:rsidR="00752724" w:rsidRPr="00752724" w:rsidRDefault="00752724" w:rsidP="00752724">
      <w:pPr>
        <w:spacing w:after="0" w:line="240" w:lineRule="auto"/>
        <w:ind w:firstLine="720"/>
        <w:rPr>
          <w:rFonts w:ascii="Times New Roman" w:hAnsi="Times New Roman" w:cs="Times New Roman"/>
          <w:sz w:val="24"/>
          <w:szCs w:val="24"/>
        </w:rPr>
      </w:pPr>
      <w:r w:rsidRPr="00752724">
        <w:rPr>
          <w:rStyle w:val="FootnoteReference"/>
          <w:rFonts w:ascii="Times New Roman" w:hAnsi="Times New Roman" w:cs="Times New Roman"/>
          <w:sz w:val="24"/>
          <w:szCs w:val="24"/>
          <w:vertAlign w:val="baseline"/>
        </w:rPr>
        <w:footnoteRef/>
      </w:r>
      <w:r w:rsidRPr="00752724">
        <w:rPr>
          <w:rFonts w:ascii="Times New Roman" w:hAnsi="Times New Roman" w:cs="Times New Roman"/>
          <w:sz w:val="24"/>
          <w:szCs w:val="24"/>
        </w:rPr>
        <w:t xml:space="preserve">. </w:t>
      </w:r>
      <w:r w:rsidRPr="00752724">
        <w:rPr>
          <w:rFonts w:ascii="Times New Roman" w:hAnsi="Times New Roman" w:cs="Times New Roman"/>
          <w:sz w:val="24"/>
          <w:szCs w:val="24"/>
        </w:rPr>
        <w:t xml:space="preserve">“The U.S. States That Are Ending Mask Mandates,” </w:t>
      </w:r>
      <w:r w:rsidRPr="00752724">
        <w:rPr>
          <w:rFonts w:ascii="Times New Roman" w:hAnsi="Times New Roman" w:cs="Times New Roman"/>
          <w:i/>
          <w:iCs/>
          <w:sz w:val="24"/>
          <w:szCs w:val="24"/>
        </w:rPr>
        <w:t>The New York Times</w:t>
      </w:r>
      <w:r w:rsidRPr="00752724">
        <w:rPr>
          <w:rFonts w:ascii="Times New Roman" w:hAnsi="Times New Roman" w:cs="Times New Roman"/>
          <w:sz w:val="24"/>
          <w:szCs w:val="24"/>
        </w:rPr>
        <w:t xml:space="preserve"> online, February 23, 2022, https://www.nytimes.com/article/mask-mandates-us.html?auth=login-google.</w:t>
      </w:r>
    </w:p>
    <w:p w14:paraId="3314CFDC" w14:textId="6D0B909F" w:rsidR="00752724" w:rsidRDefault="00752724">
      <w:pPr>
        <w:pStyle w:val="FootnoteText"/>
      </w:pPr>
    </w:p>
  </w:footnote>
  <w:footnote w:id="14">
    <w:p w14:paraId="25EF0265" w14:textId="3B63DAA2" w:rsidR="007A28CB" w:rsidRPr="00500944" w:rsidRDefault="007A28CB" w:rsidP="007A28CB">
      <w:pPr>
        <w:spacing w:after="0" w:line="240" w:lineRule="auto"/>
        <w:ind w:firstLine="720"/>
        <w:rPr>
          <w:rFonts w:ascii="Times New Roman" w:hAnsi="Times New Roman" w:cs="Times New Roman"/>
          <w:sz w:val="24"/>
          <w:szCs w:val="24"/>
        </w:rPr>
      </w:pPr>
      <w:r w:rsidRPr="007A28CB">
        <w:rPr>
          <w:rStyle w:val="FootnoteReference"/>
          <w:rFonts w:ascii="Times New Roman" w:hAnsi="Times New Roman" w:cs="Times New Roman"/>
          <w:sz w:val="24"/>
          <w:szCs w:val="24"/>
          <w:vertAlign w:val="baseline"/>
        </w:rPr>
        <w:footnoteRef/>
      </w:r>
      <w:r w:rsidRPr="007A28CB">
        <w:rPr>
          <w:rFonts w:ascii="Times New Roman" w:hAnsi="Times New Roman" w:cs="Times New Roman"/>
          <w:sz w:val="24"/>
          <w:szCs w:val="24"/>
        </w:rPr>
        <w:t xml:space="preserve">. Stacey </w:t>
      </w:r>
      <w:r w:rsidRPr="007A28CB">
        <w:rPr>
          <w:rFonts w:ascii="Times New Roman" w:hAnsi="Times New Roman" w:cs="Times New Roman"/>
          <w:sz w:val="24"/>
          <w:szCs w:val="24"/>
        </w:rPr>
        <w:t xml:space="preserve">Decker. “Which States Ban Mask Mandates in Schools, and Which Require Masks?” </w:t>
      </w:r>
      <w:r w:rsidRPr="007A28CB">
        <w:rPr>
          <w:rFonts w:ascii="Times New Roman" w:hAnsi="Times New Roman" w:cs="Times New Roman"/>
          <w:i/>
          <w:iCs/>
          <w:sz w:val="24"/>
          <w:szCs w:val="24"/>
        </w:rPr>
        <w:t>Education Week</w:t>
      </w:r>
      <w:r w:rsidRPr="007A28CB">
        <w:rPr>
          <w:rFonts w:ascii="Times New Roman" w:hAnsi="Times New Roman" w:cs="Times New Roman"/>
          <w:sz w:val="24"/>
          <w:szCs w:val="24"/>
        </w:rPr>
        <w:t>, Last modified February 25, 2022, https://www.edweek.org/policy-politics</w:t>
      </w:r>
      <w:r w:rsidRPr="00500944">
        <w:rPr>
          <w:rFonts w:ascii="Times New Roman" w:hAnsi="Times New Roman" w:cs="Times New Roman"/>
          <w:sz w:val="24"/>
          <w:szCs w:val="24"/>
        </w:rPr>
        <w:t>/which-states-ban-mask-mandates-in-schools-and-which-require-masks/2021/08</w:t>
      </w:r>
      <w:r>
        <w:rPr>
          <w:rFonts w:ascii="Times New Roman" w:hAnsi="Times New Roman" w:cs="Times New Roman"/>
          <w:sz w:val="24"/>
          <w:szCs w:val="24"/>
        </w:rPr>
        <w:t xml:space="preserve"> </w:t>
      </w:r>
    </w:p>
    <w:p w14:paraId="77AD5E97" w14:textId="5D3BB22F" w:rsidR="007A28CB" w:rsidRDefault="007A28CB">
      <w:pPr>
        <w:pStyle w:val="FootnoteText"/>
      </w:pPr>
    </w:p>
  </w:footnote>
  <w:footnote w:id="15">
    <w:p w14:paraId="742F393C" w14:textId="7CD5E3AC" w:rsidR="00752724" w:rsidRPr="00752724" w:rsidRDefault="00752724" w:rsidP="00752724">
      <w:pPr>
        <w:spacing w:after="0" w:line="240" w:lineRule="auto"/>
        <w:ind w:firstLine="720"/>
        <w:rPr>
          <w:rFonts w:ascii="Times New Roman" w:hAnsi="Times New Roman" w:cs="Times New Roman"/>
          <w:sz w:val="24"/>
          <w:szCs w:val="24"/>
        </w:rPr>
      </w:pPr>
      <w:r w:rsidRPr="00752724">
        <w:rPr>
          <w:rStyle w:val="FootnoteReference"/>
          <w:rFonts w:ascii="Times New Roman" w:hAnsi="Times New Roman" w:cs="Times New Roman"/>
          <w:sz w:val="24"/>
          <w:szCs w:val="24"/>
          <w:vertAlign w:val="baseline"/>
        </w:rPr>
        <w:footnoteRef/>
      </w:r>
      <w:r>
        <w:rPr>
          <w:rFonts w:ascii="Times New Roman" w:hAnsi="Times New Roman" w:cs="Times New Roman"/>
          <w:sz w:val="24"/>
          <w:szCs w:val="24"/>
        </w:rPr>
        <w:t>.</w:t>
      </w:r>
      <w:r w:rsidRPr="00752724">
        <w:rPr>
          <w:rFonts w:ascii="Times New Roman" w:hAnsi="Times New Roman" w:cs="Times New Roman"/>
          <w:sz w:val="24"/>
          <w:szCs w:val="24"/>
        </w:rPr>
        <w:t xml:space="preserve"> Claire </w:t>
      </w:r>
      <w:r w:rsidRPr="00752724">
        <w:rPr>
          <w:rFonts w:ascii="Times New Roman" w:hAnsi="Times New Roman" w:cs="Times New Roman"/>
          <w:sz w:val="24"/>
          <w:szCs w:val="24"/>
        </w:rPr>
        <w:t xml:space="preserve">Raj. “How Bans on Mask Mandates Affect Students with Disabilities – 4 Questions Answered.” </w:t>
      </w:r>
      <w:r w:rsidRPr="00752724">
        <w:rPr>
          <w:rFonts w:ascii="Times New Roman" w:hAnsi="Times New Roman" w:cs="Times New Roman"/>
          <w:i/>
          <w:iCs/>
          <w:sz w:val="24"/>
          <w:szCs w:val="24"/>
        </w:rPr>
        <w:t>The Conversation</w:t>
      </w:r>
      <w:r w:rsidRPr="00752724">
        <w:rPr>
          <w:rFonts w:ascii="Times New Roman" w:hAnsi="Times New Roman" w:cs="Times New Roman"/>
          <w:sz w:val="24"/>
          <w:szCs w:val="24"/>
        </w:rPr>
        <w:t>. Last modified September 10, 2021, https://theconversation.com/how-bans-on-mask-mandates-affect-students-with-disabilities-4-questions-answered-167024.</w:t>
      </w:r>
    </w:p>
    <w:p w14:paraId="3E6A41CE" w14:textId="52B3BA1E" w:rsidR="00752724" w:rsidRPr="00296A07" w:rsidRDefault="00752724">
      <w:pPr>
        <w:pStyle w:val="FootnoteText"/>
      </w:pPr>
    </w:p>
  </w:footnote>
  <w:footnote w:id="16">
    <w:p w14:paraId="756052B3" w14:textId="5BB288B7" w:rsidR="00296A07" w:rsidRDefault="00296A07" w:rsidP="00A02C1C">
      <w:pPr>
        <w:spacing w:after="0" w:line="240" w:lineRule="auto"/>
        <w:ind w:firstLine="720"/>
        <w:rPr>
          <w:rFonts w:ascii="Times New Roman" w:hAnsi="Times New Roman" w:cs="Times New Roman"/>
          <w:sz w:val="24"/>
          <w:szCs w:val="24"/>
        </w:rPr>
      </w:pPr>
      <w:r w:rsidRPr="00296A07">
        <w:rPr>
          <w:rStyle w:val="FootnoteReference"/>
          <w:rFonts w:ascii="Times New Roman" w:hAnsi="Times New Roman" w:cs="Times New Roman"/>
          <w:sz w:val="24"/>
          <w:szCs w:val="24"/>
          <w:vertAlign w:val="baseline"/>
        </w:rPr>
        <w:footnoteRef/>
      </w:r>
      <w:r>
        <w:rPr>
          <w:rFonts w:ascii="Times New Roman" w:hAnsi="Times New Roman" w:cs="Times New Roman"/>
          <w:sz w:val="24"/>
          <w:szCs w:val="24"/>
        </w:rPr>
        <w:t>.</w:t>
      </w:r>
      <w:r w:rsidRPr="00296A07">
        <w:rPr>
          <w:rFonts w:ascii="Times New Roman" w:hAnsi="Times New Roman" w:cs="Times New Roman"/>
          <w:sz w:val="24"/>
          <w:szCs w:val="24"/>
        </w:rPr>
        <w:t xml:space="preserve"> Josh </w:t>
      </w:r>
      <w:r w:rsidRPr="00296A07">
        <w:rPr>
          <w:rFonts w:ascii="Times New Roman" w:hAnsi="Times New Roman" w:cs="Times New Roman"/>
          <w:sz w:val="24"/>
          <w:szCs w:val="24"/>
        </w:rPr>
        <w:t xml:space="preserve">Moody. “Most Colleges Resume In-Person Classes,” </w:t>
      </w:r>
      <w:r w:rsidRPr="00296A07">
        <w:rPr>
          <w:rFonts w:ascii="Times New Roman" w:hAnsi="Times New Roman" w:cs="Times New Roman"/>
          <w:i/>
          <w:iCs/>
          <w:sz w:val="24"/>
          <w:szCs w:val="24"/>
        </w:rPr>
        <w:t>Inside Higher Ed</w:t>
      </w:r>
      <w:r w:rsidRPr="00296A07">
        <w:rPr>
          <w:rFonts w:ascii="Times New Roman" w:hAnsi="Times New Roman" w:cs="Times New Roman"/>
          <w:sz w:val="24"/>
          <w:szCs w:val="24"/>
        </w:rPr>
        <w:t xml:space="preserve">, January 6, 2022, </w:t>
      </w:r>
      <w:hyperlink r:id="rId2" w:history="1">
        <w:r w:rsidR="003074F2" w:rsidRPr="00A969BC">
          <w:rPr>
            <w:rStyle w:val="Hyperlink"/>
            <w:rFonts w:ascii="Times New Roman" w:hAnsi="Times New Roman" w:cs="Times New Roman"/>
            <w:sz w:val="24"/>
            <w:szCs w:val="24"/>
          </w:rPr>
          <w:t>https://www.insidehighered.com/news/2022/01/06/colleges-resuming-person-classes-amid-omicron</w:t>
        </w:r>
      </w:hyperlink>
      <w:r>
        <w:rPr>
          <w:rFonts w:ascii="Times New Roman" w:hAnsi="Times New Roman" w:cs="Times New Roman"/>
          <w:sz w:val="24"/>
          <w:szCs w:val="24"/>
        </w:rPr>
        <w:t>.</w:t>
      </w:r>
    </w:p>
    <w:p w14:paraId="77CD35D2" w14:textId="77777777" w:rsidR="003074F2" w:rsidRPr="00A02C1C" w:rsidRDefault="003074F2" w:rsidP="00A02C1C">
      <w:pPr>
        <w:spacing w:after="0" w:line="240" w:lineRule="auto"/>
        <w:ind w:firstLine="720"/>
        <w:rPr>
          <w:rFonts w:ascii="Times New Roman" w:hAnsi="Times New Roman" w:cs="Times New Roman"/>
          <w:sz w:val="24"/>
          <w:szCs w:val="24"/>
        </w:rPr>
      </w:pPr>
    </w:p>
  </w:footnote>
  <w:footnote w:id="17">
    <w:p w14:paraId="59FE8D37" w14:textId="3EC02982" w:rsidR="00A02C1C" w:rsidRPr="00A02C1C" w:rsidRDefault="00A02C1C" w:rsidP="00A02C1C">
      <w:pPr>
        <w:spacing w:after="0" w:line="240" w:lineRule="auto"/>
        <w:ind w:firstLine="720"/>
        <w:rPr>
          <w:rFonts w:ascii="Times New Roman" w:hAnsi="Times New Roman" w:cs="Times New Roman"/>
          <w:sz w:val="24"/>
          <w:szCs w:val="24"/>
        </w:rPr>
      </w:pPr>
      <w:r w:rsidRPr="00A02C1C">
        <w:rPr>
          <w:rStyle w:val="FootnoteReference"/>
          <w:rFonts w:ascii="Times New Roman" w:hAnsi="Times New Roman" w:cs="Times New Roman"/>
          <w:sz w:val="24"/>
          <w:szCs w:val="24"/>
          <w:vertAlign w:val="baseline"/>
        </w:rPr>
        <w:footnoteRef/>
      </w:r>
      <w:r w:rsidRPr="00A02C1C">
        <w:rPr>
          <w:rFonts w:ascii="Times New Roman" w:hAnsi="Times New Roman" w:cs="Times New Roman"/>
          <w:sz w:val="24"/>
          <w:szCs w:val="24"/>
        </w:rPr>
        <w:t xml:space="preserve">. Lesley </w:t>
      </w:r>
      <w:r w:rsidRPr="00A02C1C">
        <w:rPr>
          <w:rFonts w:ascii="Times New Roman" w:hAnsi="Times New Roman" w:cs="Times New Roman"/>
          <w:sz w:val="24"/>
          <w:szCs w:val="24"/>
        </w:rPr>
        <w:t xml:space="preserve">McClurg. “There's One Population that Gets Overlooked by an 'Everyone Will Get COVID' Mentality,” </w:t>
      </w:r>
      <w:r w:rsidRPr="00A02C1C">
        <w:rPr>
          <w:rFonts w:ascii="Times New Roman" w:hAnsi="Times New Roman" w:cs="Times New Roman"/>
          <w:i/>
          <w:iCs/>
          <w:sz w:val="24"/>
          <w:szCs w:val="24"/>
        </w:rPr>
        <w:t>NPR</w:t>
      </w:r>
      <w:r w:rsidRPr="00A02C1C">
        <w:rPr>
          <w:rFonts w:ascii="Times New Roman" w:hAnsi="Times New Roman" w:cs="Times New Roman"/>
          <w:sz w:val="24"/>
          <w:szCs w:val="24"/>
        </w:rPr>
        <w:t xml:space="preserve"> online, January 26, 2022, https://www.npr.org/sections/health-shots/2022/01/26/1075549754/covid-disabled-immunocompromised?utm_source=facebook.com&amp;utm_term=nprnews&amp;utm_medium=social&amp;utm_campaign=npr&amp;fbclid=IwAR2uKnWakZF07k2jdlhAOBLNDDkx0vy-8UCbOFag5aabmborEbgUMtxKz8.</w:t>
      </w:r>
    </w:p>
    <w:p w14:paraId="46E39202" w14:textId="157C6547" w:rsidR="00A02C1C" w:rsidRDefault="00A02C1C">
      <w:pPr>
        <w:pStyle w:val="FootnoteText"/>
      </w:pPr>
    </w:p>
  </w:footnote>
  <w:footnote w:id="18">
    <w:p w14:paraId="5763FE52" w14:textId="03BC77ED" w:rsidR="00A02C1C" w:rsidRDefault="00A02C1C" w:rsidP="00626517">
      <w:pPr>
        <w:spacing w:after="0" w:line="240" w:lineRule="auto"/>
        <w:ind w:firstLine="720"/>
        <w:rPr>
          <w:rFonts w:ascii="Times New Roman" w:hAnsi="Times New Roman" w:cs="Times New Roman"/>
          <w:sz w:val="24"/>
          <w:szCs w:val="24"/>
        </w:rPr>
      </w:pPr>
      <w:r w:rsidRPr="00626517">
        <w:rPr>
          <w:rStyle w:val="FootnoteReference"/>
          <w:rFonts w:ascii="Times New Roman" w:hAnsi="Times New Roman" w:cs="Times New Roman"/>
          <w:sz w:val="24"/>
          <w:szCs w:val="24"/>
          <w:vertAlign w:val="baseline"/>
        </w:rPr>
        <w:footnoteRef/>
      </w:r>
      <w:r w:rsidR="00626517" w:rsidRPr="00626517">
        <w:rPr>
          <w:rFonts w:ascii="Times New Roman" w:hAnsi="Times New Roman" w:cs="Times New Roman"/>
          <w:sz w:val="24"/>
          <w:szCs w:val="24"/>
        </w:rPr>
        <w:t xml:space="preserve">. </w:t>
      </w:r>
      <w:r w:rsidR="00626517">
        <w:rPr>
          <w:rFonts w:ascii="Times New Roman" w:hAnsi="Times New Roman" w:cs="Times New Roman"/>
          <w:sz w:val="24"/>
          <w:szCs w:val="24"/>
        </w:rPr>
        <w:t xml:space="preserve">Jordan </w:t>
      </w:r>
      <w:proofErr w:type="spellStart"/>
      <w:r w:rsidR="00626517" w:rsidRPr="00626517">
        <w:rPr>
          <w:rFonts w:ascii="Times New Roman" w:hAnsi="Times New Roman" w:cs="Times New Roman"/>
          <w:sz w:val="24"/>
          <w:szCs w:val="24"/>
        </w:rPr>
        <w:t>Grunawalt</w:t>
      </w:r>
      <w:proofErr w:type="spellEnd"/>
      <w:r w:rsidR="00626517" w:rsidRPr="00626517">
        <w:rPr>
          <w:rFonts w:ascii="Times New Roman" w:hAnsi="Times New Roman" w:cs="Times New Roman"/>
          <w:sz w:val="24"/>
          <w:szCs w:val="24"/>
        </w:rPr>
        <w:t xml:space="preserve">. “The Villain Unmasked: COVID-19 and the </w:t>
      </w:r>
      <w:proofErr w:type="spellStart"/>
      <w:r w:rsidR="00626517" w:rsidRPr="00626517">
        <w:rPr>
          <w:rFonts w:ascii="Times New Roman" w:hAnsi="Times New Roman" w:cs="Times New Roman"/>
          <w:sz w:val="24"/>
          <w:szCs w:val="24"/>
        </w:rPr>
        <w:t>Necropolitics</w:t>
      </w:r>
      <w:proofErr w:type="spellEnd"/>
      <w:r w:rsidR="00626517" w:rsidRPr="00626517">
        <w:rPr>
          <w:rFonts w:ascii="Times New Roman" w:hAnsi="Times New Roman" w:cs="Times New Roman"/>
          <w:sz w:val="24"/>
          <w:szCs w:val="24"/>
        </w:rPr>
        <w:t xml:space="preserve"> of the Anti-Mask Movement.” </w:t>
      </w:r>
      <w:r w:rsidR="00626517" w:rsidRPr="00626517">
        <w:rPr>
          <w:rFonts w:ascii="Times New Roman" w:hAnsi="Times New Roman" w:cs="Times New Roman"/>
          <w:i/>
          <w:iCs/>
          <w:sz w:val="24"/>
          <w:szCs w:val="24"/>
        </w:rPr>
        <w:t>Disability Studies Quarterly</w:t>
      </w:r>
      <w:r w:rsidR="00626517" w:rsidRPr="00626517">
        <w:rPr>
          <w:rFonts w:ascii="Times New Roman" w:hAnsi="Times New Roman" w:cs="Times New Roman"/>
          <w:sz w:val="24"/>
          <w:szCs w:val="24"/>
        </w:rPr>
        <w:t xml:space="preserve"> 41, no. 3 (2021). Accessed February 25, 2022. </w:t>
      </w:r>
      <w:hyperlink r:id="rId3" w:history="1">
        <w:r w:rsidR="0055206E" w:rsidRPr="00A969BC">
          <w:rPr>
            <w:rStyle w:val="Hyperlink"/>
            <w:rFonts w:ascii="Times New Roman" w:hAnsi="Times New Roman" w:cs="Times New Roman"/>
            <w:sz w:val="24"/>
            <w:szCs w:val="24"/>
          </w:rPr>
          <w:t>https://dsq-sds.org/article/view/8343</w:t>
        </w:r>
      </w:hyperlink>
      <w:r w:rsidR="00626517" w:rsidRPr="00626517">
        <w:rPr>
          <w:rFonts w:ascii="Times New Roman" w:hAnsi="Times New Roman" w:cs="Times New Roman"/>
          <w:sz w:val="24"/>
          <w:szCs w:val="24"/>
        </w:rPr>
        <w:t>.</w:t>
      </w:r>
    </w:p>
    <w:p w14:paraId="50152A5B" w14:textId="77777777" w:rsidR="0055206E" w:rsidRPr="00626517" w:rsidRDefault="0055206E" w:rsidP="00626517">
      <w:pPr>
        <w:spacing w:after="0" w:line="240" w:lineRule="auto"/>
        <w:ind w:firstLine="720"/>
        <w:rPr>
          <w:rFonts w:ascii="Times New Roman" w:hAnsi="Times New Roman" w:cs="Times New Roman"/>
          <w:sz w:val="24"/>
          <w:szCs w:val="24"/>
        </w:rPr>
      </w:pPr>
    </w:p>
  </w:footnote>
  <w:footnote w:id="19">
    <w:p w14:paraId="2F661C13" w14:textId="0C7EA20F" w:rsidR="005F49A4" w:rsidRDefault="002971AC" w:rsidP="00EF6C1D">
      <w:pPr>
        <w:pStyle w:val="FootnoteText"/>
        <w:ind w:firstLine="720"/>
        <w:rPr>
          <w:rFonts w:ascii="Times New Roman" w:hAnsi="Times New Roman" w:cs="Times New Roman"/>
          <w:sz w:val="24"/>
          <w:szCs w:val="24"/>
        </w:rPr>
      </w:pPr>
      <w:r w:rsidRPr="00832479">
        <w:rPr>
          <w:rStyle w:val="FootnoteReference"/>
          <w:rFonts w:ascii="Times New Roman" w:hAnsi="Times New Roman" w:cs="Times New Roman"/>
          <w:sz w:val="24"/>
          <w:szCs w:val="24"/>
          <w:vertAlign w:val="baseline"/>
        </w:rPr>
        <w:footnoteRef/>
      </w:r>
      <w:r w:rsidR="00832479">
        <w:rPr>
          <w:rFonts w:ascii="Times New Roman" w:hAnsi="Times New Roman" w:cs="Times New Roman"/>
          <w:sz w:val="24"/>
          <w:szCs w:val="24"/>
        </w:rPr>
        <w:t>.</w:t>
      </w:r>
      <w:r w:rsidRPr="00832479">
        <w:rPr>
          <w:rFonts w:ascii="Times New Roman" w:hAnsi="Times New Roman" w:cs="Times New Roman"/>
          <w:sz w:val="24"/>
          <w:szCs w:val="24"/>
        </w:rPr>
        <w:t xml:space="preserve"> For a </w:t>
      </w:r>
      <w:r w:rsidR="005F49A4" w:rsidRPr="00832479">
        <w:rPr>
          <w:rFonts w:ascii="Times New Roman" w:hAnsi="Times New Roman" w:cs="Times New Roman"/>
          <w:sz w:val="24"/>
          <w:szCs w:val="24"/>
        </w:rPr>
        <w:t>fascinating</w:t>
      </w:r>
      <w:r w:rsidRPr="00832479">
        <w:rPr>
          <w:rFonts w:ascii="Times New Roman" w:hAnsi="Times New Roman" w:cs="Times New Roman"/>
          <w:sz w:val="24"/>
          <w:szCs w:val="24"/>
        </w:rPr>
        <w:t xml:space="preserve"> example of these new cross-</w:t>
      </w:r>
      <w:r w:rsidR="005F49A4" w:rsidRPr="00832479">
        <w:rPr>
          <w:rFonts w:ascii="Times New Roman" w:hAnsi="Times New Roman" w:cs="Times New Roman"/>
          <w:sz w:val="24"/>
          <w:szCs w:val="24"/>
        </w:rPr>
        <w:t>departmental</w:t>
      </w:r>
      <w:r w:rsidRPr="00832479">
        <w:rPr>
          <w:rFonts w:ascii="Times New Roman" w:hAnsi="Times New Roman" w:cs="Times New Roman"/>
          <w:sz w:val="24"/>
          <w:szCs w:val="24"/>
        </w:rPr>
        <w:t xml:space="preserve"> co</w:t>
      </w:r>
      <w:r w:rsidR="00FA7F57" w:rsidRPr="00832479">
        <w:rPr>
          <w:rFonts w:ascii="Times New Roman" w:hAnsi="Times New Roman" w:cs="Times New Roman"/>
          <w:sz w:val="24"/>
          <w:szCs w:val="24"/>
        </w:rPr>
        <w:t xml:space="preserve">llaboration, see the IACM beta app designed by the </w:t>
      </w:r>
      <w:r w:rsidR="00832479" w:rsidRPr="00832479">
        <w:rPr>
          <w:rFonts w:ascii="Times New Roman" w:hAnsi="Times New Roman" w:cs="Times New Roman"/>
          <w:sz w:val="24"/>
          <w:szCs w:val="24"/>
        </w:rPr>
        <w:t>EPICS</w:t>
      </w:r>
      <w:r w:rsidR="00703FE6" w:rsidRPr="00832479">
        <w:rPr>
          <w:rFonts w:ascii="Times New Roman" w:hAnsi="Times New Roman" w:cs="Times New Roman"/>
          <w:sz w:val="24"/>
          <w:szCs w:val="24"/>
        </w:rPr>
        <w:t xml:space="preserve"> at Purdue in conjunction with the DRC to</w:t>
      </w:r>
      <w:r w:rsidR="00832479" w:rsidRPr="00832479">
        <w:rPr>
          <w:rFonts w:ascii="Times New Roman" w:hAnsi="Times New Roman" w:cs="Times New Roman"/>
          <w:sz w:val="24"/>
          <w:szCs w:val="24"/>
        </w:rPr>
        <w:t xml:space="preserve"> help students, faculty, and staff identify map accessible entrances and tools on campus</w:t>
      </w:r>
      <w:r w:rsidR="00EF6C1D">
        <w:rPr>
          <w:rFonts w:ascii="Times New Roman" w:hAnsi="Times New Roman" w:cs="Times New Roman"/>
          <w:sz w:val="24"/>
          <w:szCs w:val="24"/>
        </w:rPr>
        <w:t xml:space="preserve">: </w:t>
      </w:r>
      <w:hyperlink r:id="rId4" w:history="1">
        <w:r w:rsidR="00EF6C1D" w:rsidRPr="00EF6C1D">
          <w:rPr>
            <w:rFonts w:ascii="Times New Roman" w:hAnsi="Times New Roman" w:cs="Times New Roman"/>
            <w:sz w:val="24"/>
            <w:szCs w:val="24"/>
          </w:rPr>
          <w:t>https://testflight.apple.com/join/eKqfGQ4I</w:t>
        </w:r>
      </w:hyperlink>
      <w:r w:rsidR="00EF6C1D">
        <w:rPr>
          <w:rFonts w:ascii="Times New Roman" w:hAnsi="Times New Roman" w:cs="Times New Roman"/>
          <w:sz w:val="24"/>
          <w:szCs w:val="24"/>
        </w:rPr>
        <w:t>.</w:t>
      </w:r>
    </w:p>
    <w:p w14:paraId="711BE13A" w14:textId="77777777" w:rsidR="0055206E" w:rsidRPr="00832479" w:rsidRDefault="0055206E" w:rsidP="00EF6C1D">
      <w:pPr>
        <w:pStyle w:val="FootnoteText"/>
        <w:ind w:firstLine="720"/>
        <w:rPr>
          <w:rFonts w:ascii="Times New Roman" w:hAnsi="Times New Roman" w:cs="Times New Roman"/>
          <w:sz w:val="24"/>
          <w:szCs w:val="24"/>
        </w:rPr>
      </w:pPr>
    </w:p>
  </w:footnote>
  <w:footnote w:id="20">
    <w:p w14:paraId="06637160" w14:textId="17C270BF" w:rsidR="00635265" w:rsidRPr="00635265" w:rsidRDefault="00635265" w:rsidP="00635265">
      <w:pPr>
        <w:spacing w:after="0" w:line="240" w:lineRule="auto"/>
        <w:ind w:firstLine="720"/>
        <w:rPr>
          <w:rFonts w:ascii="Times New Roman" w:hAnsi="Times New Roman" w:cs="Times New Roman"/>
          <w:sz w:val="24"/>
          <w:szCs w:val="24"/>
        </w:rPr>
      </w:pPr>
      <w:r w:rsidRPr="00635265">
        <w:rPr>
          <w:rStyle w:val="FootnoteReference"/>
          <w:rFonts w:ascii="Times New Roman" w:hAnsi="Times New Roman" w:cs="Times New Roman"/>
          <w:sz w:val="24"/>
          <w:szCs w:val="24"/>
          <w:vertAlign w:val="baseline"/>
        </w:rPr>
        <w:footnoteRef/>
      </w:r>
      <w:r w:rsidRPr="00635265">
        <w:rPr>
          <w:rFonts w:ascii="Times New Roman" w:hAnsi="Times New Roman" w:cs="Times New Roman"/>
          <w:sz w:val="24"/>
          <w:szCs w:val="24"/>
        </w:rPr>
        <w:t xml:space="preserve">. </w:t>
      </w:r>
      <w:r w:rsidRPr="00635265">
        <w:rPr>
          <w:rFonts w:ascii="Times New Roman" w:hAnsi="Times New Roman" w:cs="Times New Roman"/>
          <w:sz w:val="24"/>
          <w:szCs w:val="24"/>
        </w:rPr>
        <w:t>Valéria</w:t>
      </w:r>
      <w:r>
        <w:rPr>
          <w:rFonts w:ascii="Times New Roman" w:hAnsi="Times New Roman" w:cs="Times New Roman"/>
          <w:sz w:val="24"/>
          <w:szCs w:val="24"/>
        </w:rPr>
        <w:t xml:space="preserve"> </w:t>
      </w:r>
      <w:proofErr w:type="spellStart"/>
      <w:r>
        <w:rPr>
          <w:rFonts w:ascii="Times New Roman" w:hAnsi="Times New Roman" w:cs="Times New Roman"/>
          <w:sz w:val="24"/>
          <w:szCs w:val="24"/>
        </w:rPr>
        <w:t>Aydos</w:t>
      </w:r>
      <w:proofErr w:type="spellEnd"/>
      <w:r w:rsidRPr="00635265">
        <w:rPr>
          <w:rFonts w:ascii="Times New Roman" w:hAnsi="Times New Roman" w:cs="Times New Roman"/>
          <w:sz w:val="24"/>
          <w:szCs w:val="24"/>
        </w:rPr>
        <w:t xml:space="preserve">, Daniela </w:t>
      </w:r>
      <w:proofErr w:type="spellStart"/>
      <w:r w:rsidRPr="00635265">
        <w:rPr>
          <w:rFonts w:ascii="Times New Roman" w:hAnsi="Times New Roman" w:cs="Times New Roman"/>
          <w:sz w:val="24"/>
          <w:szCs w:val="24"/>
        </w:rPr>
        <w:t>Navarini</w:t>
      </w:r>
      <w:proofErr w:type="spellEnd"/>
      <w:r w:rsidRPr="00635265">
        <w:rPr>
          <w:rFonts w:ascii="Times New Roman" w:hAnsi="Times New Roman" w:cs="Times New Roman"/>
          <w:sz w:val="24"/>
          <w:szCs w:val="24"/>
        </w:rPr>
        <w:t xml:space="preserve">, and Bernardo Oliveria. “The Paradox of ‘Remote Working’ in Covid-19 Pandemic Times: Disability, Inclusion, and Accessibility in Brazil.” </w:t>
      </w:r>
      <w:r w:rsidRPr="00635265">
        <w:rPr>
          <w:rFonts w:ascii="Times New Roman" w:hAnsi="Times New Roman" w:cs="Times New Roman"/>
          <w:i/>
          <w:iCs/>
          <w:sz w:val="24"/>
          <w:szCs w:val="24"/>
        </w:rPr>
        <w:t>Disability Studies Quarterly</w:t>
      </w:r>
      <w:r w:rsidRPr="00635265">
        <w:rPr>
          <w:rFonts w:ascii="Times New Roman" w:hAnsi="Times New Roman" w:cs="Times New Roman"/>
          <w:sz w:val="24"/>
          <w:szCs w:val="24"/>
        </w:rPr>
        <w:t xml:space="preserve"> 41, no. 3 (2021). Accessed February 25, 2022. https://dsq-sds.org/article/view/8359/6188.</w:t>
      </w:r>
    </w:p>
    <w:p w14:paraId="1311D31D" w14:textId="300130EA" w:rsidR="00635265" w:rsidRPr="00635265" w:rsidRDefault="00635265">
      <w:pPr>
        <w:pStyle w:val="FootnoteText"/>
      </w:pPr>
    </w:p>
  </w:footnote>
  <w:footnote w:id="21">
    <w:p w14:paraId="3F9EC5EE" w14:textId="13D64917" w:rsidR="009B15AF" w:rsidRPr="00BF7991" w:rsidRDefault="009B15AF" w:rsidP="009B15AF">
      <w:pPr>
        <w:pStyle w:val="FootnoteText"/>
        <w:ind w:firstLine="720"/>
        <w:rPr>
          <w:rFonts w:ascii="Times New Roman" w:hAnsi="Times New Roman" w:cs="Times New Roman"/>
          <w:sz w:val="24"/>
          <w:szCs w:val="24"/>
        </w:rPr>
      </w:pPr>
      <w:r w:rsidRPr="00BF7991">
        <w:rPr>
          <w:rStyle w:val="FootnoteReference"/>
          <w:rFonts w:ascii="Times New Roman" w:hAnsi="Times New Roman" w:cs="Times New Roman"/>
          <w:sz w:val="24"/>
          <w:szCs w:val="24"/>
          <w:vertAlign w:val="baseline"/>
        </w:rPr>
        <w:footnoteRef/>
      </w:r>
      <w:r w:rsidR="00635265">
        <w:rPr>
          <w:rFonts w:ascii="Times New Roman" w:hAnsi="Times New Roman" w:cs="Times New Roman"/>
          <w:sz w:val="24"/>
          <w:szCs w:val="24"/>
        </w:rPr>
        <w:t>.</w:t>
      </w:r>
      <w:r w:rsidRPr="00BF7991">
        <w:rPr>
          <w:rFonts w:ascii="Times New Roman" w:hAnsi="Times New Roman" w:cs="Times New Roman"/>
          <w:sz w:val="24"/>
          <w:szCs w:val="24"/>
        </w:rPr>
        <w:t xml:space="preserve"> </w:t>
      </w:r>
      <w:r w:rsidR="00F91468" w:rsidRPr="00BF7991">
        <w:rPr>
          <w:rFonts w:ascii="Times New Roman" w:hAnsi="Times New Roman" w:cs="Times New Roman"/>
          <w:sz w:val="24"/>
          <w:szCs w:val="24"/>
        </w:rPr>
        <w:t>Lederer et al., “</w:t>
      </w:r>
      <w:r w:rsidR="00F91468" w:rsidRPr="00BF7991">
        <w:rPr>
          <w:rFonts w:ascii="Times New Roman" w:hAnsi="Times New Roman" w:cs="Times New Roman"/>
          <w:sz w:val="24"/>
          <w:szCs w:val="24"/>
        </w:rPr>
        <w:t>More than Inconvenienced</w:t>
      </w:r>
      <w:r w:rsidR="00F91468" w:rsidRPr="00BF7991">
        <w:rPr>
          <w:rFonts w:ascii="Times New Roman" w:hAnsi="Times New Roman" w:cs="Times New Roman"/>
          <w:sz w:val="24"/>
          <w:szCs w:val="24"/>
        </w:rPr>
        <w:t>,” 17.</w:t>
      </w:r>
    </w:p>
  </w:footnote>
  <w:footnote w:id="22">
    <w:p w14:paraId="2AF29B91" w14:textId="132074DE" w:rsidR="003043AA" w:rsidRDefault="003043AA" w:rsidP="003043AA">
      <w:pPr>
        <w:pStyle w:val="FootnoteText"/>
        <w:ind w:left="720"/>
      </w:pPr>
      <w:r w:rsidRPr="00BF7991">
        <w:rPr>
          <w:rStyle w:val="FootnoteReference"/>
          <w:rFonts w:ascii="Times New Roman" w:hAnsi="Times New Roman" w:cs="Times New Roman"/>
          <w:sz w:val="24"/>
          <w:szCs w:val="24"/>
          <w:vertAlign w:val="baseline"/>
        </w:rPr>
        <w:footnoteRef/>
      </w:r>
      <w:r>
        <w:rPr>
          <w:rFonts w:ascii="Times New Roman" w:hAnsi="Times New Roman" w:cs="Times New Roman"/>
          <w:sz w:val="24"/>
          <w:szCs w:val="24"/>
        </w:rPr>
        <w:t xml:space="preserve">. </w:t>
      </w:r>
      <w:r w:rsidRPr="00BF7991">
        <w:rPr>
          <w:rFonts w:ascii="Times New Roman" w:hAnsi="Times New Roman" w:cs="Times New Roman"/>
          <w:sz w:val="24"/>
          <w:szCs w:val="24"/>
        </w:rPr>
        <w:t>Lederer et al., “More than Inconvenienced,” 17.</w:t>
      </w:r>
    </w:p>
  </w:footnote>
  <w:footnote w:id="23">
    <w:p w14:paraId="48FAD0F0" w14:textId="6102B598" w:rsidR="00020AF5" w:rsidRPr="00020AF5" w:rsidRDefault="00020AF5" w:rsidP="00020AF5">
      <w:pPr>
        <w:spacing w:after="0" w:line="240" w:lineRule="auto"/>
        <w:ind w:left="720"/>
        <w:rPr>
          <w:rFonts w:ascii="Times New Roman" w:hAnsi="Times New Roman" w:cs="Times New Roman"/>
          <w:sz w:val="24"/>
          <w:szCs w:val="24"/>
        </w:rPr>
      </w:pPr>
      <w:r w:rsidRPr="00020AF5">
        <w:rPr>
          <w:rStyle w:val="FootnoteReference"/>
          <w:rFonts w:ascii="Times New Roman" w:hAnsi="Times New Roman" w:cs="Times New Roman"/>
          <w:sz w:val="24"/>
          <w:szCs w:val="24"/>
          <w:vertAlign w:val="baseline"/>
        </w:rPr>
        <w:footnoteRef/>
      </w:r>
      <w:r w:rsidRPr="00020AF5">
        <w:rPr>
          <w:rFonts w:ascii="Times New Roman" w:hAnsi="Times New Roman" w:cs="Times New Roman"/>
          <w:sz w:val="24"/>
          <w:szCs w:val="24"/>
        </w:rPr>
        <w:t xml:space="preserve">. </w:t>
      </w:r>
      <w:r w:rsidRPr="00020AF5">
        <w:rPr>
          <w:rFonts w:ascii="Times New Roman" w:hAnsi="Times New Roman" w:cs="Times New Roman"/>
          <w:sz w:val="24"/>
          <w:szCs w:val="24"/>
        </w:rPr>
        <w:t xml:space="preserve">Accessible Campus Alliance. “Beyond ‘High-Risk’: Update for 2021.”  Last modified August 25, 2021, </w:t>
      </w:r>
      <w:hyperlink r:id="rId5" w:history="1">
        <w:r w:rsidRPr="00020AF5">
          <w:rPr>
            <w:rFonts w:ascii="Times New Roman" w:hAnsi="Times New Roman" w:cs="Times New Roman"/>
            <w:sz w:val="24"/>
            <w:szCs w:val="24"/>
          </w:rPr>
          <w:t>https://bit.ly/accesscampusalliance</w:t>
        </w:r>
      </w:hyperlink>
      <w:r w:rsidRPr="00020AF5">
        <w:rPr>
          <w:rFonts w:ascii="Times New Roman" w:hAnsi="Times New Roman" w:cs="Times New Roman"/>
          <w:sz w:val="24"/>
          <w:szCs w:val="24"/>
        </w:rPr>
        <w:t>.</w:t>
      </w:r>
    </w:p>
    <w:p w14:paraId="4AFC3ED5" w14:textId="592E51BD" w:rsidR="00020AF5" w:rsidRDefault="00020AF5">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66501204"/>
      <w:docPartObj>
        <w:docPartGallery w:val="Page Numbers (Top of Page)"/>
        <w:docPartUnique/>
      </w:docPartObj>
    </w:sdtPr>
    <w:sdtEndPr>
      <w:rPr>
        <w:rFonts w:ascii="Times New Roman" w:hAnsi="Times New Roman" w:cs="Times New Roman"/>
        <w:noProof/>
        <w:sz w:val="24"/>
        <w:szCs w:val="24"/>
      </w:rPr>
    </w:sdtEndPr>
    <w:sdtContent>
      <w:p w14:paraId="05372981" w14:textId="1D141037" w:rsidR="00F83A0E" w:rsidRPr="00F83A0E" w:rsidRDefault="00F83A0E">
        <w:pPr>
          <w:pStyle w:val="Header"/>
          <w:jc w:val="right"/>
          <w:rPr>
            <w:rFonts w:ascii="Times New Roman" w:hAnsi="Times New Roman" w:cs="Times New Roman"/>
            <w:sz w:val="24"/>
            <w:szCs w:val="24"/>
          </w:rPr>
        </w:pPr>
        <w:r w:rsidRPr="00F83A0E">
          <w:rPr>
            <w:rFonts w:ascii="Times New Roman" w:hAnsi="Times New Roman" w:cs="Times New Roman"/>
            <w:sz w:val="24"/>
            <w:szCs w:val="24"/>
          </w:rPr>
          <w:fldChar w:fldCharType="begin"/>
        </w:r>
        <w:r w:rsidRPr="00F83A0E">
          <w:rPr>
            <w:rFonts w:ascii="Times New Roman" w:hAnsi="Times New Roman" w:cs="Times New Roman"/>
            <w:sz w:val="24"/>
            <w:szCs w:val="24"/>
          </w:rPr>
          <w:instrText xml:space="preserve"> PAGE   \* MERGEFORMAT </w:instrText>
        </w:r>
        <w:r w:rsidRPr="00F83A0E">
          <w:rPr>
            <w:rFonts w:ascii="Times New Roman" w:hAnsi="Times New Roman" w:cs="Times New Roman"/>
            <w:sz w:val="24"/>
            <w:szCs w:val="24"/>
          </w:rPr>
          <w:fldChar w:fldCharType="separate"/>
        </w:r>
        <w:r w:rsidRPr="00F83A0E">
          <w:rPr>
            <w:rFonts w:ascii="Times New Roman" w:hAnsi="Times New Roman" w:cs="Times New Roman"/>
            <w:noProof/>
            <w:sz w:val="24"/>
            <w:szCs w:val="24"/>
          </w:rPr>
          <w:t>2</w:t>
        </w:r>
        <w:r w:rsidRPr="00F83A0E">
          <w:rPr>
            <w:rFonts w:ascii="Times New Roman" w:hAnsi="Times New Roman" w:cs="Times New Roman"/>
            <w:noProof/>
            <w:sz w:val="24"/>
            <w:szCs w:val="24"/>
          </w:rPr>
          <w:fldChar w:fldCharType="end"/>
        </w:r>
      </w:p>
    </w:sdtContent>
  </w:sdt>
  <w:p w14:paraId="2B2081D0" w14:textId="77777777" w:rsidR="00F83A0E" w:rsidRDefault="00F83A0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0187E26"/>
    <w:multiLevelType w:val="hybridMultilevel"/>
    <w:tmpl w:val="A02EAC14"/>
    <w:lvl w:ilvl="0" w:tplc="15FEF082">
      <w:start w:val="1"/>
      <w:numFmt w:val="decimal"/>
      <w:lvlText w:val="%1."/>
      <w:lvlJc w:val="left"/>
      <w:pPr>
        <w:ind w:left="1080" w:hanging="360"/>
      </w:pPr>
      <w:rPr>
        <w:rFonts w:ascii="Times New Roman" w:eastAsiaTheme="minorHAnsi"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defaultTabStop w:val="144"/>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C68"/>
    <w:rsid w:val="00004376"/>
    <w:rsid w:val="000114FF"/>
    <w:rsid w:val="00011967"/>
    <w:rsid w:val="00017CB9"/>
    <w:rsid w:val="00020AF5"/>
    <w:rsid w:val="00023ADE"/>
    <w:rsid w:val="000577A1"/>
    <w:rsid w:val="000658AF"/>
    <w:rsid w:val="0007326D"/>
    <w:rsid w:val="0007568A"/>
    <w:rsid w:val="00075C7F"/>
    <w:rsid w:val="00083D91"/>
    <w:rsid w:val="000902FB"/>
    <w:rsid w:val="00095B3C"/>
    <w:rsid w:val="000A6401"/>
    <w:rsid w:val="000A6ECF"/>
    <w:rsid w:val="000C19AC"/>
    <w:rsid w:val="000D3741"/>
    <w:rsid w:val="000F60A4"/>
    <w:rsid w:val="00100271"/>
    <w:rsid w:val="00107A74"/>
    <w:rsid w:val="0012123B"/>
    <w:rsid w:val="00124F0D"/>
    <w:rsid w:val="001254B2"/>
    <w:rsid w:val="00137E78"/>
    <w:rsid w:val="00142864"/>
    <w:rsid w:val="00157565"/>
    <w:rsid w:val="001756E6"/>
    <w:rsid w:val="001A59C0"/>
    <w:rsid w:val="001D3993"/>
    <w:rsid w:val="001F0F56"/>
    <w:rsid w:val="00233A0B"/>
    <w:rsid w:val="002520A2"/>
    <w:rsid w:val="002549B4"/>
    <w:rsid w:val="00255325"/>
    <w:rsid w:val="00256FE8"/>
    <w:rsid w:val="00282C9E"/>
    <w:rsid w:val="00286069"/>
    <w:rsid w:val="00296A07"/>
    <w:rsid w:val="002971AC"/>
    <w:rsid w:val="00297E7A"/>
    <w:rsid w:val="002A5584"/>
    <w:rsid w:val="002B00B8"/>
    <w:rsid w:val="002B2107"/>
    <w:rsid w:val="002C5809"/>
    <w:rsid w:val="002C655F"/>
    <w:rsid w:val="002E5068"/>
    <w:rsid w:val="0030097F"/>
    <w:rsid w:val="003043AA"/>
    <w:rsid w:val="00306732"/>
    <w:rsid w:val="003074F2"/>
    <w:rsid w:val="0031117E"/>
    <w:rsid w:val="00313401"/>
    <w:rsid w:val="00317067"/>
    <w:rsid w:val="003245F0"/>
    <w:rsid w:val="00335F98"/>
    <w:rsid w:val="00343483"/>
    <w:rsid w:val="00344332"/>
    <w:rsid w:val="00345519"/>
    <w:rsid w:val="00357BBE"/>
    <w:rsid w:val="0036067B"/>
    <w:rsid w:val="00361C79"/>
    <w:rsid w:val="00363DCC"/>
    <w:rsid w:val="00395CA5"/>
    <w:rsid w:val="003A5770"/>
    <w:rsid w:val="003C0B36"/>
    <w:rsid w:val="003C3F61"/>
    <w:rsid w:val="003E3B2F"/>
    <w:rsid w:val="003E3D96"/>
    <w:rsid w:val="003E5760"/>
    <w:rsid w:val="003F75B8"/>
    <w:rsid w:val="00406D1B"/>
    <w:rsid w:val="00406D97"/>
    <w:rsid w:val="00427456"/>
    <w:rsid w:val="004375E7"/>
    <w:rsid w:val="00464087"/>
    <w:rsid w:val="0046755B"/>
    <w:rsid w:val="00483FEE"/>
    <w:rsid w:val="0049041E"/>
    <w:rsid w:val="004C3328"/>
    <w:rsid w:val="004C4533"/>
    <w:rsid w:val="004C6656"/>
    <w:rsid w:val="004D1BFF"/>
    <w:rsid w:val="004E28E8"/>
    <w:rsid w:val="004E338E"/>
    <w:rsid w:val="004F0CE7"/>
    <w:rsid w:val="0050086F"/>
    <w:rsid w:val="00500944"/>
    <w:rsid w:val="00506C72"/>
    <w:rsid w:val="005109F9"/>
    <w:rsid w:val="00515570"/>
    <w:rsid w:val="0055206E"/>
    <w:rsid w:val="00555D4B"/>
    <w:rsid w:val="0055722B"/>
    <w:rsid w:val="00561D1A"/>
    <w:rsid w:val="00586AC1"/>
    <w:rsid w:val="005A1868"/>
    <w:rsid w:val="005B2F5B"/>
    <w:rsid w:val="005B4BDA"/>
    <w:rsid w:val="005C1C3A"/>
    <w:rsid w:val="005C3272"/>
    <w:rsid w:val="005D7EB4"/>
    <w:rsid w:val="005E24C0"/>
    <w:rsid w:val="005F0AEF"/>
    <w:rsid w:val="005F1913"/>
    <w:rsid w:val="005F49A4"/>
    <w:rsid w:val="00617413"/>
    <w:rsid w:val="0062172E"/>
    <w:rsid w:val="0062421D"/>
    <w:rsid w:val="00626517"/>
    <w:rsid w:val="00630FA4"/>
    <w:rsid w:val="00634FEE"/>
    <w:rsid w:val="00635265"/>
    <w:rsid w:val="006539D1"/>
    <w:rsid w:val="00653B2C"/>
    <w:rsid w:val="006651AE"/>
    <w:rsid w:val="006768DC"/>
    <w:rsid w:val="00694FFA"/>
    <w:rsid w:val="006B189E"/>
    <w:rsid w:val="006B388D"/>
    <w:rsid w:val="006B44CA"/>
    <w:rsid w:val="006C3F86"/>
    <w:rsid w:val="006D73C3"/>
    <w:rsid w:val="006E615B"/>
    <w:rsid w:val="00700364"/>
    <w:rsid w:val="007031E3"/>
    <w:rsid w:val="00703FE6"/>
    <w:rsid w:val="00712B37"/>
    <w:rsid w:val="0071305C"/>
    <w:rsid w:val="00716B9B"/>
    <w:rsid w:val="00720325"/>
    <w:rsid w:val="007267B8"/>
    <w:rsid w:val="00726BB5"/>
    <w:rsid w:val="00736053"/>
    <w:rsid w:val="00747FE8"/>
    <w:rsid w:val="00752724"/>
    <w:rsid w:val="007576CF"/>
    <w:rsid w:val="007745C4"/>
    <w:rsid w:val="00785851"/>
    <w:rsid w:val="00786598"/>
    <w:rsid w:val="00793974"/>
    <w:rsid w:val="007A28CB"/>
    <w:rsid w:val="007A3191"/>
    <w:rsid w:val="007A3687"/>
    <w:rsid w:val="007A63DF"/>
    <w:rsid w:val="007A6F04"/>
    <w:rsid w:val="007A6FCE"/>
    <w:rsid w:val="007B1732"/>
    <w:rsid w:val="007B65B6"/>
    <w:rsid w:val="007B6C10"/>
    <w:rsid w:val="007C013F"/>
    <w:rsid w:val="007C6FA8"/>
    <w:rsid w:val="007F3CAF"/>
    <w:rsid w:val="007F6F48"/>
    <w:rsid w:val="008110A0"/>
    <w:rsid w:val="0081556F"/>
    <w:rsid w:val="00820223"/>
    <w:rsid w:val="00822E8B"/>
    <w:rsid w:val="00832479"/>
    <w:rsid w:val="0083429D"/>
    <w:rsid w:val="0083488D"/>
    <w:rsid w:val="00837606"/>
    <w:rsid w:val="008379C5"/>
    <w:rsid w:val="0084195B"/>
    <w:rsid w:val="00846154"/>
    <w:rsid w:val="00846D95"/>
    <w:rsid w:val="0085062D"/>
    <w:rsid w:val="00852D0A"/>
    <w:rsid w:val="00853CA8"/>
    <w:rsid w:val="00855530"/>
    <w:rsid w:val="00857E13"/>
    <w:rsid w:val="00874E46"/>
    <w:rsid w:val="00893753"/>
    <w:rsid w:val="008A0028"/>
    <w:rsid w:val="008A3BAC"/>
    <w:rsid w:val="008A70B5"/>
    <w:rsid w:val="008D6592"/>
    <w:rsid w:val="008E7AD8"/>
    <w:rsid w:val="009060E1"/>
    <w:rsid w:val="0091215D"/>
    <w:rsid w:val="00926472"/>
    <w:rsid w:val="00926CBD"/>
    <w:rsid w:val="00933811"/>
    <w:rsid w:val="009551A6"/>
    <w:rsid w:val="00962C46"/>
    <w:rsid w:val="00963144"/>
    <w:rsid w:val="009678BD"/>
    <w:rsid w:val="00997019"/>
    <w:rsid w:val="009A3E83"/>
    <w:rsid w:val="009A47C5"/>
    <w:rsid w:val="009B05EA"/>
    <w:rsid w:val="009B15AF"/>
    <w:rsid w:val="009B786E"/>
    <w:rsid w:val="009C6B42"/>
    <w:rsid w:val="009E59B6"/>
    <w:rsid w:val="009F4EE5"/>
    <w:rsid w:val="009F70E3"/>
    <w:rsid w:val="00A02C1C"/>
    <w:rsid w:val="00A1593C"/>
    <w:rsid w:val="00A20A58"/>
    <w:rsid w:val="00A26E54"/>
    <w:rsid w:val="00A27943"/>
    <w:rsid w:val="00A35CC8"/>
    <w:rsid w:val="00A36694"/>
    <w:rsid w:val="00A4095C"/>
    <w:rsid w:val="00A45849"/>
    <w:rsid w:val="00A53EA8"/>
    <w:rsid w:val="00A5452A"/>
    <w:rsid w:val="00A670E4"/>
    <w:rsid w:val="00A67E08"/>
    <w:rsid w:val="00A72D74"/>
    <w:rsid w:val="00A8109C"/>
    <w:rsid w:val="00AA4727"/>
    <w:rsid w:val="00AA5503"/>
    <w:rsid w:val="00AB4BAF"/>
    <w:rsid w:val="00AC6763"/>
    <w:rsid w:val="00AD08F8"/>
    <w:rsid w:val="00AD0C5C"/>
    <w:rsid w:val="00AE1EFF"/>
    <w:rsid w:val="00AE3E9F"/>
    <w:rsid w:val="00AE3FA4"/>
    <w:rsid w:val="00AE52CE"/>
    <w:rsid w:val="00B04101"/>
    <w:rsid w:val="00B227E8"/>
    <w:rsid w:val="00B32BB6"/>
    <w:rsid w:val="00B355C6"/>
    <w:rsid w:val="00B412A1"/>
    <w:rsid w:val="00B448FF"/>
    <w:rsid w:val="00B45C96"/>
    <w:rsid w:val="00B50503"/>
    <w:rsid w:val="00B525B7"/>
    <w:rsid w:val="00B54D4C"/>
    <w:rsid w:val="00B55AAF"/>
    <w:rsid w:val="00B612E4"/>
    <w:rsid w:val="00B61A58"/>
    <w:rsid w:val="00B63579"/>
    <w:rsid w:val="00B748CA"/>
    <w:rsid w:val="00B95D88"/>
    <w:rsid w:val="00BA79D4"/>
    <w:rsid w:val="00BC3601"/>
    <w:rsid w:val="00BC56DC"/>
    <w:rsid w:val="00BD1B21"/>
    <w:rsid w:val="00BD23AF"/>
    <w:rsid w:val="00BE3BCD"/>
    <w:rsid w:val="00BE4530"/>
    <w:rsid w:val="00BF01F0"/>
    <w:rsid w:val="00BF065A"/>
    <w:rsid w:val="00BF2DC5"/>
    <w:rsid w:val="00BF75C3"/>
    <w:rsid w:val="00BF7991"/>
    <w:rsid w:val="00C034FA"/>
    <w:rsid w:val="00C0466C"/>
    <w:rsid w:val="00C10DEA"/>
    <w:rsid w:val="00C22FD5"/>
    <w:rsid w:val="00C24C45"/>
    <w:rsid w:val="00C3027E"/>
    <w:rsid w:val="00C319CB"/>
    <w:rsid w:val="00C32351"/>
    <w:rsid w:val="00C33A07"/>
    <w:rsid w:val="00C35B26"/>
    <w:rsid w:val="00C40D80"/>
    <w:rsid w:val="00C4232A"/>
    <w:rsid w:val="00C46E81"/>
    <w:rsid w:val="00C517F7"/>
    <w:rsid w:val="00C51AE2"/>
    <w:rsid w:val="00C62C2E"/>
    <w:rsid w:val="00C63980"/>
    <w:rsid w:val="00C65F7B"/>
    <w:rsid w:val="00C67402"/>
    <w:rsid w:val="00C717C2"/>
    <w:rsid w:val="00C74A9A"/>
    <w:rsid w:val="00C75E1C"/>
    <w:rsid w:val="00C8167B"/>
    <w:rsid w:val="00C839AA"/>
    <w:rsid w:val="00CB465B"/>
    <w:rsid w:val="00CC5B7D"/>
    <w:rsid w:val="00CD6A3C"/>
    <w:rsid w:val="00CE3EB6"/>
    <w:rsid w:val="00CE5B42"/>
    <w:rsid w:val="00CE6A3E"/>
    <w:rsid w:val="00D047BC"/>
    <w:rsid w:val="00D1050B"/>
    <w:rsid w:val="00D35206"/>
    <w:rsid w:val="00D41EBA"/>
    <w:rsid w:val="00D50352"/>
    <w:rsid w:val="00D56130"/>
    <w:rsid w:val="00D70144"/>
    <w:rsid w:val="00D70AF7"/>
    <w:rsid w:val="00D836CD"/>
    <w:rsid w:val="00D96BBC"/>
    <w:rsid w:val="00D96EF3"/>
    <w:rsid w:val="00DA3B13"/>
    <w:rsid w:val="00DA530A"/>
    <w:rsid w:val="00DB2A6C"/>
    <w:rsid w:val="00DC378D"/>
    <w:rsid w:val="00DD08A3"/>
    <w:rsid w:val="00DE6F71"/>
    <w:rsid w:val="00DF0687"/>
    <w:rsid w:val="00DF12BB"/>
    <w:rsid w:val="00DF7ECC"/>
    <w:rsid w:val="00E0578F"/>
    <w:rsid w:val="00E1513F"/>
    <w:rsid w:val="00E17F84"/>
    <w:rsid w:val="00E20AF1"/>
    <w:rsid w:val="00E27B50"/>
    <w:rsid w:val="00E307CE"/>
    <w:rsid w:val="00E346B5"/>
    <w:rsid w:val="00E356FF"/>
    <w:rsid w:val="00E35F5C"/>
    <w:rsid w:val="00E41FF8"/>
    <w:rsid w:val="00E50FF4"/>
    <w:rsid w:val="00E6006D"/>
    <w:rsid w:val="00E859CD"/>
    <w:rsid w:val="00E90A7C"/>
    <w:rsid w:val="00E93C84"/>
    <w:rsid w:val="00EB1268"/>
    <w:rsid w:val="00EB754E"/>
    <w:rsid w:val="00ED71F2"/>
    <w:rsid w:val="00EE1F46"/>
    <w:rsid w:val="00EE2613"/>
    <w:rsid w:val="00EE492C"/>
    <w:rsid w:val="00EF6C1D"/>
    <w:rsid w:val="00F07AAF"/>
    <w:rsid w:val="00F20602"/>
    <w:rsid w:val="00F231E8"/>
    <w:rsid w:val="00F24694"/>
    <w:rsid w:val="00F250A0"/>
    <w:rsid w:val="00F252B1"/>
    <w:rsid w:val="00F37903"/>
    <w:rsid w:val="00F41641"/>
    <w:rsid w:val="00F4238A"/>
    <w:rsid w:val="00F47154"/>
    <w:rsid w:val="00F5510E"/>
    <w:rsid w:val="00F57A8F"/>
    <w:rsid w:val="00F61636"/>
    <w:rsid w:val="00F7576C"/>
    <w:rsid w:val="00F75A1D"/>
    <w:rsid w:val="00F778BD"/>
    <w:rsid w:val="00F81F14"/>
    <w:rsid w:val="00F83A0E"/>
    <w:rsid w:val="00F90D06"/>
    <w:rsid w:val="00F91468"/>
    <w:rsid w:val="00F9580E"/>
    <w:rsid w:val="00FA34CE"/>
    <w:rsid w:val="00FA7F57"/>
    <w:rsid w:val="00FB5C68"/>
    <w:rsid w:val="00FC29A1"/>
    <w:rsid w:val="00FC3B39"/>
    <w:rsid w:val="00FC510E"/>
    <w:rsid w:val="00FD157C"/>
    <w:rsid w:val="00FD3D45"/>
    <w:rsid w:val="00FD79B0"/>
    <w:rsid w:val="00FE14EA"/>
    <w:rsid w:val="00FF1A35"/>
    <w:rsid w:val="00FF3548"/>
    <w:rsid w:val="00FF5A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E8BB17"/>
  <w15:chartTrackingRefBased/>
  <w15:docId w15:val="{78D3E345-B0D2-4D92-BF53-61E90B4A6A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B5C6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FB5C68"/>
  </w:style>
  <w:style w:type="paragraph" w:styleId="Header">
    <w:name w:val="header"/>
    <w:basedOn w:val="Normal"/>
    <w:link w:val="HeaderChar"/>
    <w:uiPriority w:val="99"/>
    <w:unhideWhenUsed/>
    <w:rsid w:val="00E600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006D"/>
  </w:style>
  <w:style w:type="paragraph" w:styleId="Footer">
    <w:name w:val="footer"/>
    <w:basedOn w:val="Normal"/>
    <w:link w:val="FooterChar"/>
    <w:uiPriority w:val="99"/>
    <w:unhideWhenUsed/>
    <w:rsid w:val="00E600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006D"/>
  </w:style>
  <w:style w:type="character" w:styleId="Hyperlink">
    <w:name w:val="Hyperlink"/>
    <w:basedOn w:val="DefaultParagraphFont"/>
    <w:uiPriority w:val="99"/>
    <w:unhideWhenUsed/>
    <w:rsid w:val="00EE492C"/>
    <w:rPr>
      <w:color w:val="0000FF"/>
      <w:u w:val="single"/>
    </w:rPr>
  </w:style>
  <w:style w:type="character" w:styleId="UnresolvedMention">
    <w:name w:val="Unresolved Mention"/>
    <w:basedOn w:val="DefaultParagraphFont"/>
    <w:uiPriority w:val="99"/>
    <w:semiHidden/>
    <w:unhideWhenUsed/>
    <w:rsid w:val="00AE1EFF"/>
    <w:rPr>
      <w:color w:val="605E5C"/>
      <w:shd w:val="clear" w:color="auto" w:fill="E1DFDD"/>
    </w:rPr>
  </w:style>
  <w:style w:type="paragraph" w:styleId="FootnoteText">
    <w:name w:val="footnote text"/>
    <w:basedOn w:val="Normal"/>
    <w:link w:val="FootnoteTextChar"/>
    <w:uiPriority w:val="99"/>
    <w:semiHidden/>
    <w:unhideWhenUsed/>
    <w:rsid w:val="007576C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576CF"/>
    <w:rPr>
      <w:sz w:val="20"/>
      <w:szCs w:val="20"/>
    </w:rPr>
  </w:style>
  <w:style w:type="character" w:styleId="FootnoteReference">
    <w:name w:val="footnote reference"/>
    <w:basedOn w:val="DefaultParagraphFont"/>
    <w:uiPriority w:val="99"/>
    <w:semiHidden/>
    <w:unhideWhenUsed/>
    <w:rsid w:val="007576CF"/>
    <w:rPr>
      <w:vertAlign w:val="superscript"/>
    </w:rPr>
  </w:style>
  <w:style w:type="paragraph" w:styleId="ListParagraph">
    <w:name w:val="List Paragraph"/>
    <w:basedOn w:val="Normal"/>
    <w:uiPriority w:val="34"/>
    <w:qFormat/>
    <w:rsid w:val="007576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52169">
      <w:bodyDiv w:val="1"/>
      <w:marLeft w:val="0"/>
      <w:marRight w:val="0"/>
      <w:marTop w:val="0"/>
      <w:marBottom w:val="0"/>
      <w:divBdr>
        <w:top w:val="none" w:sz="0" w:space="0" w:color="auto"/>
        <w:left w:val="none" w:sz="0" w:space="0" w:color="auto"/>
        <w:bottom w:val="none" w:sz="0" w:space="0" w:color="auto"/>
        <w:right w:val="none" w:sz="0" w:space="0" w:color="auto"/>
      </w:divBdr>
    </w:div>
    <w:div w:id="226769042">
      <w:bodyDiv w:val="1"/>
      <w:marLeft w:val="0"/>
      <w:marRight w:val="0"/>
      <w:marTop w:val="0"/>
      <w:marBottom w:val="0"/>
      <w:divBdr>
        <w:top w:val="none" w:sz="0" w:space="0" w:color="auto"/>
        <w:left w:val="none" w:sz="0" w:space="0" w:color="auto"/>
        <w:bottom w:val="none" w:sz="0" w:space="0" w:color="auto"/>
        <w:right w:val="none" w:sz="0" w:space="0" w:color="auto"/>
      </w:divBdr>
    </w:div>
    <w:div w:id="605579679">
      <w:bodyDiv w:val="1"/>
      <w:marLeft w:val="0"/>
      <w:marRight w:val="0"/>
      <w:marTop w:val="0"/>
      <w:marBottom w:val="0"/>
      <w:divBdr>
        <w:top w:val="none" w:sz="0" w:space="0" w:color="auto"/>
        <w:left w:val="none" w:sz="0" w:space="0" w:color="auto"/>
        <w:bottom w:val="none" w:sz="0" w:space="0" w:color="auto"/>
        <w:right w:val="none" w:sz="0" w:space="0" w:color="auto"/>
      </w:divBdr>
    </w:div>
    <w:div w:id="680661945">
      <w:bodyDiv w:val="1"/>
      <w:marLeft w:val="0"/>
      <w:marRight w:val="0"/>
      <w:marTop w:val="0"/>
      <w:marBottom w:val="0"/>
      <w:divBdr>
        <w:top w:val="none" w:sz="0" w:space="0" w:color="auto"/>
        <w:left w:val="none" w:sz="0" w:space="0" w:color="auto"/>
        <w:bottom w:val="none" w:sz="0" w:space="0" w:color="auto"/>
        <w:right w:val="none" w:sz="0" w:space="0" w:color="auto"/>
      </w:divBdr>
    </w:div>
    <w:div w:id="852650506">
      <w:bodyDiv w:val="1"/>
      <w:marLeft w:val="0"/>
      <w:marRight w:val="0"/>
      <w:marTop w:val="0"/>
      <w:marBottom w:val="0"/>
      <w:divBdr>
        <w:top w:val="none" w:sz="0" w:space="0" w:color="auto"/>
        <w:left w:val="none" w:sz="0" w:space="0" w:color="auto"/>
        <w:bottom w:val="none" w:sz="0" w:space="0" w:color="auto"/>
        <w:right w:val="none" w:sz="0" w:space="0" w:color="auto"/>
      </w:divBdr>
    </w:div>
    <w:div w:id="941954996">
      <w:bodyDiv w:val="1"/>
      <w:marLeft w:val="0"/>
      <w:marRight w:val="0"/>
      <w:marTop w:val="0"/>
      <w:marBottom w:val="0"/>
      <w:divBdr>
        <w:top w:val="none" w:sz="0" w:space="0" w:color="auto"/>
        <w:left w:val="none" w:sz="0" w:space="0" w:color="auto"/>
        <w:bottom w:val="none" w:sz="0" w:space="0" w:color="auto"/>
        <w:right w:val="none" w:sz="0" w:space="0" w:color="auto"/>
      </w:divBdr>
    </w:div>
    <w:div w:id="1455905208">
      <w:bodyDiv w:val="1"/>
      <w:marLeft w:val="0"/>
      <w:marRight w:val="0"/>
      <w:marTop w:val="0"/>
      <w:marBottom w:val="0"/>
      <w:divBdr>
        <w:top w:val="none" w:sz="0" w:space="0" w:color="auto"/>
        <w:left w:val="none" w:sz="0" w:space="0" w:color="auto"/>
        <w:bottom w:val="none" w:sz="0" w:space="0" w:color="auto"/>
        <w:right w:val="none" w:sz="0" w:space="0" w:color="auto"/>
      </w:divBdr>
    </w:div>
    <w:div w:id="1777363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t.ly/accesscampusallianc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s://dsq-sds.org/article/view/8343" TargetMode="External"/><Relationship Id="rId2" Type="http://schemas.openxmlformats.org/officeDocument/2006/relationships/hyperlink" Target="https://www.insidehighered.com/news/2022/01/06/colleges-resuming-person-classes-amid-omicron" TargetMode="External"/><Relationship Id="rId1" Type="http://schemas.openxmlformats.org/officeDocument/2006/relationships/hyperlink" Target="https://www.jstor.org/stable/800538" TargetMode="External"/><Relationship Id="rId5" Type="http://schemas.openxmlformats.org/officeDocument/2006/relationships/hyperlink" Target="https://bit.ly/accesscampusalliance" TargetMode="External"/><Relationship Id="rId4" Type="http://schemas.openxmlformats.org/officeDocument/2006/relationships/hyperlink" Target="https://testflight.apple.com/join/eKqfGQ4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2DFC6B-CFE5-4E63-BEEA-81BC943D87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3544</TotalTime>
  <Pages>13</Pages>
  <Words>3693</Words>
  <Characters>21055</Characters>
  <Application>Microsoft Office Word</Application>
  <DocSecurity>0</DocSecurity>
  <Lines>175</Lines>
  <Paragraphs>49</Paragraphs>
  <ScaleCrop>false</ScaleCrop>
  <Company/>
  <LinksUpToDate>false</LinksUpToDate>
  <CharactersWithSpaces>24699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Clapham, Danielle</dc:creator>
  <cp:keywords/>
  <dc:description/>
  <cp:lastModifiedBy>Clapham, Danielle</cp:lastModifiedBy>
  <cp:revision>398</cp:revision>
  <cp:lastPrinted>2022-02-25T22:06:00Z</cp:lastPrinted>
  <dcterms:created xsi:type="dcterms:W3CDTF">2022-02-22T19:11:00Z</dcterms:created>
  <dcterms:modified xsi:type="dcterms:W3CDTF">2022-02-26T00:51:00Z</dcterms:modified>
</cp:coreProperties>
</file>